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1E3" w:rsidRPr="009A58EA" w:rsidRDefault="00BE41E3" w:rsidP="00BE41E3">
      <w:pPr>
        <w:pStyle w:val="NormalWeb"/>
        <w:adjustRightInd w:val="0"/>
        <w:snapToGrid w:val="0"/>
        <w:spacing w:before="0" w:beforeAutospacing="0" w:after="0" w:afterAutospacing="0"/>
        <w:rPr>
          <w:b/>
        </w:rPr>
      </w:pPr>
    </w:p>
    <w:p w:rsidR="00BE41E3" w:rsidRPr="009A58EA" w:rsidRDefault="00BE41E3" w:rsidP="00BE41E3">
      <w:pPr>
        <w:pStyle w:val="NormalWeb"/>
        <w:adjustRightInd w:val="0"/>
        <w:snapToGrid w:val="0"/>
        <w:spacing w:before="0" w:beforeAutospacing="0" w:after="0" w:afterAutospacing="0"/>
        <w:rPr>
          <w:b/>
        </w:rPr>
      </w:pPr>
      <w:r>
        <w:rPr>
          <w:b/>
        </w:rPr>
        <w:t>2. Results:</w:t>
      </w:r>
    </w:p>
    <w:p w:rsidR="00BE41E3" w:rsidRPr="009A58EA" w:rsidRDefault="00BE41E3" w:rsidP="00BE41E3">
      <w:pPr>
        <w:pStyle w:val="NormalWeb"/>
        <w:adjustRightInd w:val="0"/>
        <w:snapToGrid w:val="0"/>
        <w:spacing w:before="0" w:beforeAutospacing="0" w:after="0" w:afterAutospacing="0"/>
      </w:pPr>
      <w:r w:rsidRPr="008B5B21">
        <w:rPr>
          <w:b/>
          <w:bCs/>
        </w:rPr>
        <w:t xml:space="preserve">Supplementary Table 1. </w:t>
      </w:r>
      <w:r>
        <w:rPr>
          <w:rFonts w:hint="eastAsia"/>
          <w:lang w:eastAsia="zh-CN"/>
        </w:rPr>
        <w:t>C</w:t>
      </w:r>
      <w:r w:rsidRPr="009A58EA">
        <w:t>haracteristics of participants of the included studies.</w:t>
      </w:r>
    </w:p>
    <w:tbl>
      <w:tblPr>
        <w:tblW w:w="0" w:type="auto"/>
        <w:tblCellMar>
          <w:left w:w="0" w:type="dxa"/>
          <w:right w:w="0" w:type="dxa"/>
        </w:tblCellMar>
        <w:tblLook w:val="04A0"/>
      </w:tblPr>
      <w:tblGrid>
        <w:gridCol w:w="2546"/>
        <w:gridCol w:w="1315"/>
        <w:gridCol w:w="900"/>
        <w:gridCol w:w="1984"/>
        <w:gridCol w:w="2049"/>
      </w:tblGrid>
      <w:tr w:rsidR="00BE41E3" w:rsidRPr="009A58EA" w:rsidTr="00437CC5">
        <w:trPr>
          <w:trHeight w:val="45"/>
        </w:trPr>
        <w:tc>
          <w:tcPr>
            <w:tcW w:w="2761"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jc w:val="both"/>
              <w:rPr>
                <w:rFonts w:ascii="Times New Roman" w:hAnsi="Times New Roman" w:cs="Times New Roman"/>
                <w:b/>
                <w:sz w:val="24"/>
                <w:szCs w:val="24"/>
              </w:rPr>
            </w:pPr>
            <w:r w:rsidRPr="009A58EA">
              <w:rPr>
                <w:rFonts w:ascii="Times New Roman" w:hAnsi="Times New Roman" w:cs="Times New Roman"/>
                <w:b/>
                <w:bCs/>
                <w:sz w:val="24"/>
                <w:szCs w:val="24"/>
              </w:rPr>
              <w:t>Study</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jc w:val="both"/>
              <w:rPr>
                <w:rFonts w:ascii="Times New Roman" w:hAnsi="Times New Roman" w:cs="Times New Roman"/>
                <w:b/>
                <w:sz w:val="24"/>
                <w:szCs w:val="24"/>
              </w:rPr>
            </w:pPr>
            <w:r w:rsidRPr="009A58EA">
              <w:rPr>
                <w:rFonts w:ascii="Times New Roman" w:hAnsi="Times New Roman" w:cs="Times New Roman"/>
                <w:b/>
                <w:bCs/>
                <w:sz w:val="24"/>
                <w:szCs w:val="24"/>
              </w:rPr>
              <w:t>Age (</w:t>
            </w:r>
            <w:r>
              <w:rPr>
                <w:rFonts w:ascii="Times New Roman" w:hAnsi="Times New Roman" w:cs="Times New Roman" w:hint="eastAsia"/>
                <w:b/>
                <w:bCs/>
                <w:sz w:val="24"/>
                <w:szCs w:val="24"/>
                <w:lang w:eastAsia="zh-CN"/>
              </w:rPr>
              <w:t>m</w:t>
            </w:r>
            <w:r w:rsidRPr="009A58EA">
              <w:rPr>
                <w:rFonts w:ascii="Times New Roman" w:hAnsi="Times New Roman" w:cs="Times New Roman"/>
                <w:b/>
                <w:bCs/>
                <w:sz w:val="24"/>
                <w:szCs w:val="24"/>
              </w:rPr>
              <w:t>ean, years)</w:t>
            </w:r>
          </w:p>
        </w:tc>
        <w:tc>
          <w:tcPr>
            <w:tcW w:w="2527" w:type="dxa"/>
            <w:vMerge w:val="restart"/>
            <w:tcBorders>
              <w:top w:val="single" w:sz="8" w:space="0" w:color="000000"/>
              <w:left w:val="single" w:sz="8" w:space="0" w:color="000000"/>
              <w:right w:val="single" w:sz="8" w:space="0" w:color="000000"/>
            </w:tcBorders>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r w:rsidRPr="009A58EA">
              <w:rPr>
                <w:rFonts w:ascii="Times New Roman" w:hAnsi="Times New Roman" w:cs="Times New Roman"/>
                <w:b/>
                <w:bCs/>
                <w:sz w:val="24"/>
                <w:szCs w:val="24"/>
              </w:rPr>
              <w:t>Setting</w:t>
            </w:r>
          </w:p>
        </w:tc>
        <w:tc>
          <w:tcPr>
            <w:tcW w:w="2827" w:type="dxa"/>
            <w:vMerge w:val="restart"/>
            <w:tcBorders>
              <w:top w:val="single" w:sz="8" w:space="0" w:color="000000"/>
              <w:left w:val="single" w:sz="8" w:space="0" w:color="000000"/>
              <w:right w:val="single" w:sz="8" w:space="0" w:color="000000"/>
            </w:tcBorders>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r w:rsidRPr="009A58EA">
              <w:rPr>
                <w:rFonts w:ascii="Times New Roman" w:hAnsi="Times New Roman" w:cs="Times New Roman"/>
                <w:b/>
                <w:bCs/>
                <w:sz w:val="24"/>
                <w:szCs w:val="24"/>
              </w:rPr>
              <w:t>GDM diagnostic criteria</w:t>
            </w:r>
          </w:p>
        </w:tc>
      </w:tr>
      <w:tr w:rsidR="00BE41E3" w:rsidRPr="009A58EA" w:rsidTr="00437CC5">
        <w:trPr>
          <w:trHeight w:val="178"/>
        </w:trPr>
        <w:tc>
          <w:tcPr>
            <w:tcW w:w="2761"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r w:rsidRPr="009A58EA">
              <w:rPr>
                <w:rFonts w:ascii="Times New Roman" w:hAnsi="Times New Roman" w:cs="Times New Roman"/>
                <w:b/>
                <w:bCs/>
                <w:sz w:val="24"/>
                <w:szCs w:val="24"/>
              </w:rPr>
              <w:t>PP</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r w:rsidRPr="009A58EA">
              <w:rPr>
                <w:rFonts w:ascii="Times New Roman" w:hAnsi="Times New Roman" w:cs="Times New Roman"/>
                <w:b/>
                <w:bCs/>
                <w:sz w:val="24"/>
                <w:szCs w:val="24"/>
              </w:rPr>
              <w:t>P</w:t>
            </w:r>
          </w:p>
        </w:tc>
        <w:tc>
          <w:tcPr>
            <w:tcW w:w="2527" w:type="dxa"/>
            <w:vMerge/>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p>
        </w:tc>
        <w:tc>
          <w:tcPr>
            <w:tcW w:w="2827" w:type="dxa"/>
            <w:vMerge/>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jc w:val="both"/>
              <w:rPr>
                <w:rFonts w:ascii="Times New Roman" w:hAnsi="Times New Roman" w:cs="Times New Roman"/>
                <w:b/>
                <w:bCs/>
                <w:sz w:val="24"/>
                <w:szCs w:val="24"/>
              </w:rPr>
            </w:pPr>
          </w:p>
        </w:tc>
      </w:tr>
      <w:tr w:rsidR="00BE41E3" w:rsidRPr="009A58EA" w:rsidTr="00437CC5">
        <w:trPr>
          <w:trHeight w:val="20"/>
        </w:trPr>
        <w:tc>
          <w:tcPr>
            <w:tcW w:w="2761"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Comparison of GDM prevalence during pandemic and pre-pandemic cohorts</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527" w:type="dxa"/>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827" w:type="dxa"/>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r>
      <w:tr w:rsidR="00BE41E3" w:rsidRPr="009A58EA" w:rsidTr="00437CC5">
        <w:trPr>
          <w:trHeight w:val="22"/>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Gu, 2020 [14]</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30.19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29.99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283"/>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Justman, 2020 [15]</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30.6</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30.8</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Large tertiary care centre</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670"/>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Pariente, 2020 [16]</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28.3</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delivered a healthy baby at term (more than 37 gestational weeks), at the maternity ward of the Soroka University Medical Center (SUMC), the sole medical center in the southern part of Israel (the Negev region).</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283"/>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Molina Vega, 2021</w:t>
            </w:r>
            <w:r w:rsidRPr="009A58EA">
              <w:rPr>
                <w:rFonts w:ascii="Times New Roman" w:hAnsi="Times New Roman" w:cs="Times New Roman"/>
                <w:b/>
                <w:bCs/>
                <w:sz w:val="24"/>
                <w:szCs w:val="24"/>
              </w:rPr>
              <w:t xml:space="preserve"> [17]</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33.3</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35.9</w:t>
            </w:r>
          </w:p>
        </w:tc>
        <w:tc>
          <w:tcPr>
            <w:tcW w:w="2527"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Pregnancy and Diabetes Clinic (University Hospital Virgen de la Victoria, Málaga, Spain)</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Two-step strategy according to National Diabetes Data Group (NDDG) criteria, Spain</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Chelu, 2022 [18]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Age = 20-40 years</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single-center study, a tertiary referral center, Municipal Emergency Hospital of Timisoara (SCMUT)</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Collins-Smith, 2022</w:t>
            </w:r>
            <w:r w:rsidRPr="009A58EA">
              <w:rPr>
                <w:rFonts w:ascii="Times New Roman" w:hAnsi="Times New Roman" w:cs="Times New Roman"/>
                <w:b/>
                <w:bCs/>
                <w:sz w:val="24"/>
                <w:szCs w:val="24"/>
              </w:rPr>
              <w:t xml:space="preserve"> [19]</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31.3</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31.4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Seven centres across new york</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The diagnosis of GDM was based on two elevated glucose values on a 3-hour 100-g oral glucose tolerance test using the thresholds established by Carpenter and Coustan.</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Gurol-</w:t>
            </w:r>
            <w:r>
              <w:rPr>
                <w:rFonts w:ascii="Times New Roman" w:hAnsi="Times New Roman" w:cs="Times New Roman" w:hint="eastAsia"/>
                <w:b/>
                <w:sz w:val="24"/>
                <w:szCs w:val="24"/>
                <w:lang w:eastAsia="zh-CN"/>
              </w:rPr>
              <w:t>U</w:t>
            </w:r>
            <w:r w:rsidRPr="009A58EA">
              <w:rPr>
                <w:rFonts w:ascii="Times New Roman" w:hAnsi="Times New Roman" w:cs="Times New Roman"/>
                <w:b/>
                <w:sz w:val="24"/>
                <w:szCs w:val="24"/>
              </w:rPr>
              <w:t>rganci, 2022</w:t>
            </w:r>
            <w:r w:rsidRPr="009A58EA">
              <w:rPr>
                <w:rFonts w:ascii="Times New Roman" w:hAnsi="Times New Roman" w:cs="Times New Roman"/>
                <w:b/>
                <w:bCs/>
                <w:sz w:val="24"/>
                <w:szCs w:val="24"/>
              </w:rPr>
              <w:t xml:space="preserve"> [20]</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Varies from &lt;</w:t>
            </w:r>
            <w:r>
              <w:rPr>
                <w:rFonts w:ascii="Times New Roman" w:hAnsi="Times New Roman" w:cs="Times New Roman" w:hint="eastAsia"/>
                <w:bCs/>
                <w:sz w:val="24"/>
                <w:szCs w:val="24"/>
                <w:lang w:eastAsia="zh-CN"/>
              </w:rPr>
              <w:t xml:space="preserve"> </w:t>
            </w:r>
            <w:r w:rsidRPr="009A58EA">
              <w:rPr>
                <w:rFonts w:ascii="Times New Roman" w:hAnsi="Times New Roman" w:cs="Times New Roman"/>
                <w:bCs/>
                <w:sz w:val="24"/>
                <w:szCs w:val="24"/>
              </w:rPr>
              <w:t>19 to &gt;</w:t>
            </w:r>
            <w:r>
              <w:rPr>
                <w:rFonts w:ascii="Times New Roman" w:hAnsi="Times New Roman" w:cs="Times New Roman" w:hint="eastAsia"/>
                <w:bCs/>
                <w:sz w:val="24"/>
                <w:szCs w:val="24"/>
                <w:lang w:eastAsia="zh-CN"/>
              </w:rPr>
              <w:t xml:space="preserve"> </w:t>
            </w:r>
            <w:r w:rsidRPr="009A58EA">
              <w:rPr>
                <w:rFonts w:ascii="Times New Roman" w:hAnsi="Times New Roman" w:cs="Times New Roman"/>
                <w:bCs/>
                <w:sz w:val="24"/>
                <w:szCs w:val="24"/>
              </w:rPr>
              <w:t>40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A national population-based study using Hospital Episode Statistics (HES) records of all inpatient admissions to National Health Service (NHS) hospitals in England.</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r w:rsidRPr="009A58EA">
              <w:rPr>
                <w:rFonts w:ascii="Times New Roman" w:hAnsi="Times New Roman" w:cs="Times New Roman"/>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Handley, 2022</w:t>
            </w:r>
            <w:r w:rsidRPr="009A58EA">
              <w:rPr>
                <w:rFonts w:ascii="Times New Roman" w:hAnsi="Times New Roman" w:cs="Times New Roman"/>
                <w:b/>
                <w:bCs/>
                <w:sz w:val="24"/>
                <w:szCs w:val="24"/>
              </w:rPr>
              <w:t xml:space="preserve"> [21]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Varies from &lt;20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two academic health systems (Penn Medicine and Yale New Haven)</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r w:rsidRPr="009A58EA">
              <w:rPr>
                <w:rFonts w:ascii="Times New Roman" w:hAnsi="Times New Roman" w:cs="Times New Roman"/>
              </w:rPr>
              <w:t>glucose tolerance testing (GTT) or glucose challenge testing (GCT) to screen for gestational diabetes</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 xml:space="preserve">He, 2022 </w:t>
            </w:r>
            <w:r w:rsidRPr="009A58EA">
              <w:rPr>
                <w:rFonts w:ascii="Times New Roman" w:hAnsi="Times New Roman" w:cs="Times New Roman"/>
                <w:b/>
                <w:bCs/>
                <w:sz w:val="24"/>
                <w:szCs w:val="24"/>
              </w:rPr>
              <w:t>[22]</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30.31</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30.80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m 5 hospitals [Guangzhou (n=1), Shenzhen (n=1), Dongguan (n=2), and Jiangmen (n=1)] located in Guangdong Province, China</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Keating, 2022</w:t>
            </w:r>
            <w:r w:rsidRPr="009A58EA">
              <w:rPr>
                <w:rFonts w:ascii="Times New Roman" w:hAnsi="Times New Roman" w:cs="Times New Roman"/>
                <w:b/>
                <w:bCs/>
                <w:sz w:val="24"/>
                <w:szCs w:val="24"/>
              </w:rPr>
              <w:t xml:space="preserve"> [23]</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28.5</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GTT &amp; GCT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La Verde, 2022</w:t>
            </w:r>
            <w:r w:rsidRPr="009A58EA">
              <w:rPr>
                <w:rFonts w:ascii="Times New Roman" w:hAnsi="Times New Roman" w:cs="Times New Roman"/>
                <w:b/>
                <w:bCs/>
                <w:sz w:val="24"/>
                <w:szCs w:val="24"/>
              </w:rPr>
              <w:t xml:space="preserve"> [24]</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36.3</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34.5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single-center study performed in a tertiary-care referral center of the University of Campania “Luigi Vanvitelli, Italy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One step 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Liu, 2022</w:t>
            </w:r>
            <w:r w:rsidRPr="009A58EA">
              <w:rPr>
                <w:rFonts w:ascii="Times New Roman" w:hAnsi="Times New Roman" w:cs="Times New Roman"/>
                <w:b/>
                <w:bCs/>
                <w:sz w:val="24"/>
                <w:szCs w:val="24"/>
              </w:rPr>
              <w:t xml:space="preserve"> [25]</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29.75</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29.88</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A hospital-based retrospective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Ornaghi, 2022</w:t>
            </w:r>
            <w:r w:rsidRPr="009A58EA">
              <w:rPr>
                <w:rFonts w:ascii="Times New Roman" w:hAnsi="Times New Roman" w:cs="Times New Roman"/>
                <w:b/>
                <w:bCs/>
                <w:sz w:val="24"/>
                <w:szCs w:val="24"/>
              </w:rPr>
              <w:t xml:space="preserve"> [26]</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32.6</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33.1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Tertiary care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one-step approach using a 75-g, 2-hour oral glucose tolerance test as proposed by the International Association of Diabetes and Pregnancy Study Groups</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Yin, 2022</w:t>
            </w:r>
            <w:r w:rsidRPr="009A58EA">
              <w:rPr>
                <w:rFonts w:ascii="Times New Roman" w:hAnsi="Times New Roman" w:cs="Times New Roman"/>
                <w:b/>
                <w:bCs/>
                <w:sz w:val="24"/>
                <w:szCs w:val="24"/>
              </w:rPr>
              <w:t xml:space="preserve"> [27]</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33.25</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33.0 &amp; 32.17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Women's Hospital of Zhejiang University School of Medicine</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Zanardo, 2022</w:t>
            </w:r>
            <w:r w:rsidRPr="009A58EA">
              <w:rPr>
                <w:rFonts w:ascii="Times New Roman" w:hAnsi="Times New Roman" w:cs="Times New Roman"/>
                <w:b/>
                <w:bCs/>
                <w:sz w:val="24"/>
                <w:szCs w:val="24"/>
              </w:rPr>
              <w:t xml:space="preserve"> [28]</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34.22</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35.65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Zheng, 2022</w:t>
            </w:r>
            <w:r w:rsidRPr="009A58EA">
              <w:rPr>
                <w:rFonts w:ascii="Times New Roman" w:hAnsi="Times New Roman" w:cs="Times New Roman"/>
                <w:b/>
                <w:bCs/>
                <w:sz w:val="24"/>
                <w:szCs w:val="24"/>
              </w:rPr>
              <w:t xml:space="preserve"> [29]</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33.9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34.1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Beijing Birth Cohort Study conducted in the Beijing Obstetrics and Gynecology Hospital</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GDM was diagnosed according to standards proposed by the Obstetrics Subgroup, Chinese Medical Association, which is numerically equivalent to the International Association of Diabetes and Pregnancy Study Groups (IADPSG) criteria.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Ansari, 2023</w:t>
            </w:r>
            <w:r w:rsidRPr="009A58EA">
              <w:rPr>
                <w:rFonts w:ascii="Times New Roman" w:hAnsi="Times New Roman" w:cs="Times New Roman"/>
                <w:b/>
                <w:bCs/>
                <w:sz w:val="24"/>
                <w:szCs w:val="24"/>
              </w:rPr>
              <w:t xml:space="preserve"> [30]</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28.9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32.4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urban or rural comprehensive healthcare center in Isfahan province, Iran</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Auger, 2023</w:t>
            </w:r>
            <w:r w:rsidRPr="009A58EA">
              <w:rPr>
                <w:rFonts w:ascii="Times New Roman" w:hAnsi="Times New Roman" w:cs="Times New Roman"/>
                <w:b/>
                <w:bCs/>
                <w:sz w:val="24"/>
                <w:szCs w:val="24"/>
              </w:rPr>
              <w:t xml:space="preserve"> [31]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Varies from &lt;25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 canada</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One or two step approach 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Boguslawski, 2023</w:t>
            </w:r>
            <w:r w:rsidRPr="009A58EA">
              <w:rPr>
                <w:rFonts w:ascii="Times New Roman" w:hAnsi="Times New Roman" w:cs="Times New Roman"/>
                <w:b/>
                <w:bCs/>
                <w:sz w:val="24"/>
                <w:szCs w:val="24"/>
              </w:rPr>
              <w:t xml:space="preserve"> [32]</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27.6</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27.2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 xml:space="preserve">Single center, </w:t>
            </w:r>
            <w:r w:rsidRPr="009A58EA">
              <w:rPr>
                <w:rFonts w:ascii="Times New Roman" w:hAnsi="Times New Roman" w:cs="Times New Roman"/>
              </w:rPr>
              <w:t>Grady Memorial Hospital</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1-hour glucose tolerance test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Gharacheh, 2023</w:t>
            </w:r>
            <w:r w:rsidRPr="009A58EA">
              <w:rPr>
                <w:rFonts w:ascii="Times New Roman" w:hAnsi="Times New Roman" w:cs="Times New Roman"/>
                <w:b/>
                <w:bCs/>
                <w:sz w:val="24"/>
                <w:szCs w:val="24"/>
              </w:rPr>
              <w:t xml:space="preserve"> [33]</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Total mean = 29.38</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part of a comprehensive 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Gholami, 2023</w:t>
            </w:r>
            <w:r w:rsidRPr="009A58EA">
              <w:rPr>
                <w:rFonts w:ascii="Times New Roman" w:hAnsi="Times New Roman" w:cs="Times New Roman"/>
                <w:b/>
                <w:bCs/>
                <w:sz w:val="24"/>
                <w:szCs w:val="24"/>
              </w:rPr>
              <w:t xml:space="preserve"> [34]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&gt;18 yrs</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All hospital birth registration platforms, Iran</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Meloncelli, 2023</w:t>
            </w:r>
            <w:r w:rsidRPr="009A58EA">
              <w:rPr>
                <w:rFonts w:ascii="Times New Roman" w:hAnsi="Times New Roman" w:cs="Times New Roman"/>
                <w:b/>
                <w:bCs/>
                <w:sz w:val="24"/>
                <w:szCs w:val="24"/>
              </w:rPr>
              <w:t xml:space="preserve"> [35]</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31</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Data of women who gave birth extracted from the Perinatal Data Collection (PDC) by the Queensland Health Statistical Services Branch.</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Raischer, 2023</w:t>
            </w:r>
            <w:r w:rsidRPr="009A58EA">
              <w:rPr>
                <w:rFonts w:ascii="Times New Roman" w:hAnsi="Times New Roman" w:cs="Times New Roman"/>
                <w:b/>
                <w:bCs/>
                <w:sz w:val="24"/>
                <w:szCs w:val="24"/>
              </w:rPr>
              <w:t xml:space="preserve"> [36]</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29.9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two-period cohort study of women who gave birth at Emek Medical Center, a university teaching medical center in Afula.</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Carpenter–Coustan criteria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Rhou, 2023</w:t>
            </w:r>
            <w:r w:rsidRPr="009A58EA">
              <w:rPr>
                <w:rFonts w:ascii="Times New Roman" w:hAnsi="Times New Roman" w:cs="Times New Roman"/>
                <w:b/>
                <w:bCs/>
                <w:sz w:val="24"/>
                <w:szCs w:val="24"/>
              </w:rPr>
              <w:t xml:space="preserve"> [37]</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30.7</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31.0 &amp; 31.3</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multicentre cohort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Garrow, 2024</w:t>
            </w:r>
            <w:r w:rsidRPr="009A58EA">
              <w:rPr>
                <w:rFonts w:ascii="Times New Roman" w:hAnsi="Times New Roman" w:cs="Times New Roman"/>
                <w:b/>
                <w:bCs/>
                <w:sz w:val="24"/>
                <w:szCs w:val="24"/>
              </w:rPr>
              <w:t xml:space="preserve"> [4]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Total mean = 29.67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population-based cohort (Project WATCH)</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9"/>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Zare, 2024</w:t>
            </w:r>
            <w:r w:rsidRPr="009A58EA">
              <w:rPr>
                <w:rFonts w:ascii="Times New Roman" w:hAnsi="Times New Roman" w:cs="Times New Roman"/>
                <w:b/>
                <w:bCs/>
                <w:sz w:val="24"/>
                <w:szCs w:val="24"/>
              </w:rPr>
              <w:t xml:space="preserve"> [38]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Varies from &lt;18 to &lt;35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all pregnant women who have childbirth residences in Shahroud City, Iran were included in the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504"/>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bCs/>
                <w:sz w:val="24"/>
                <w:szCs w:val="24"/>
              </w:rPr>
              <w:t>Study</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bCs/>
                <w:sz w:val="24"/>
                <w:szCs w:val="24"/>
              </w:rPr>
              <w:t>Age (Mean, years) for pregnant women with COVID-19 infection</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Setting</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GDM diagnostic criteria</w:t>
            </w:r>
          </w:p>
        </w:tc>
      </w:tr>
      <w:tr w:rsidR="00BE41E3" w:rsidRPr="009A58EA" w:rsidTr="00437CC5">
        <w:trPr>
          <w:trHeight w:val="504"/>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COVID-19 as a risk factor for GDM</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Adhikari, 2020</w:t>
            </w:r>
            <w:r w:rsidRPr="009A58EA">
              <w:rPr>
                <w:rFonts w:ascii="Times New Roman" w:hAnsi="Times New Roman" w:cs="Times New Roman"/>
                <w:b/>
                <w:bCs/>
                <w:sz w:val="24"/>
                <w:szCs w:val="24"/>
              </w:rPr>
              <w:t xml:space="preserve"> [39]</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6"/>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Gulersen, 2020</w:t>
            </w:r>
            <w:r w:rsidRPr="009A58EA">
              <w:rPr>
                <w:rFonts w:ascii="Times New Roman" w:hAnsi="Times New Roman" w:cs="Times New Roman"/>
                <w:b/>
                <w:bCs/>
                <w:sz w:val="24"/>
                <w:szCs w:val="24"/>
              </w:rPr>
              <w:t xml:space="preserve"> [40]</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Kayem, 2020</w:t>
            </w:r>
            <w:r w:rsidRPr="009A58EA">
              <w:rPr>
                <w:rFonts w:ascii="Times New Roman" w:hAnsi="Times New Roman" w:cs="Times New Roman"/>
                <w:b/>
                <w:bCs/>
                <w:sz w:val="24"/>
                <w:szCs w:val="24"/>
              </w:rPr>
              <w:t xml:space="preserve"> [41]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NA</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research network of 33 French maternity units (including 24 tertiary referral centers)</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p>
          <w:p w:rsidR="00BE41E3" w:rsidRPr="009A58EA" w:rsidRDefault="00BE41E3" w:rsidP="00437CC5">
            <w:pPr>
              <w:adjustRightInd w:val="0"/>
              <w:snapToGrid w:val="0"/>
              <w:spacing w:after="0" w:line="240" w:lineRule="auto"/>
              <w:rPr>
                <w:rFonts w:ascii="Times New Roman" w:hAnsi="Times New Roman" w:cs="Times New Roman"/>
              </w:rPr>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Knight, 2020</w:t>
            </w:r>
            <w:r w:rsidRPr="009A58EA">
              <w:rPr>
                <w:rFonts w:ascii="Times New Roman" w:hAnsi="Times New Roman" w:cs="Times New Roman"/>
                <w:b/>
                <w:bCs/>
                <w:sz w:val="24"/>
                <w:szCs w:val="24"/>
              </w:rPr>
              <w:t xml:space="preserve"> [42]</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&lt;20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national prospective observational cohort study using the UK Obstetric Surveillance System</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Panagiotakopoulos, 2020</w:t>
            </w:r>
            <w:r w:rsidRPr="009A58EA">
              <w:rPr>
                <w:rFonts w:ascii="Times New Roman" w:hAnsi="Times New Roman" w:cs="Times New Roman"/>
                <w:b/>
                <w:bCs/>
                <w:sz w:val="24"/>
                <w:szCs w:val="24"/>
              </w:rPr>
              <w:t xml:space="preserve"> [43]</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Single centre - Vaccine Safety Datalink sites</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Patberg, 2021</w:t>
            </w:r>
            <w:r w:rsidRPr="009A58EA">
              <w:rPr>
                <w:rFonts w:ascii="Times New Roman" w:hAnsi="Times New Roman" w:cs="Times New Roman"/>
                <w:b/>
                <w:bCs/>
                <w:sz w:val="24"/>
                <w:szCs w:val="24"/>
              </w:rPr>
              <w:t xml:space="preserve"> [44]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centre</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Prabhu, 2020</w:t>
            </w:r>
            <w:r w:rsidRPr="009A58EA">
              <w:rPr>
                <w:rFonts w:ascii="Times New Roman" w:hAnsi="Times New Roman" w:cs="Times New Roman"/>
                <w:b/>
                <w:bCs/>
                <w:sz w:val="24"/>
                <w:szCs w:val="24"/>
              </w:rPr>
              <w:t xml:space="preserve"> [45]</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30.5 &amp; 31.4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3 institutions in New York City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Sakowicx, 2020</w:t>
            </w:r>
            <w:r w:rsidRPr="009A58EA">
              <w:rPr>
                <w:rFonts w:ascii="Times New Roman" w:hAnsi="Times New Roman" w:cs="Times New Roman"/>
                <w:b/>
                <w:bCs/>
                <w:sz w:val="24"/>
                <w:szCs w:val="24"/>
              </w:rPr>
              <w:t xml:space="preserve"> [46]</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30.6</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Yang, 2020</w:t>
            </w:r>
            <w:r w:rsidRPr="009A58EA">
              <w:rPr>
                <w:rFonts w:ascii="Times New Roman" w:hAnsi="Times New Roman" w:cs="Times New Roman"/>
                <w:b/>
                <w:bCs/>
                <w:sz w:val="24"/>
                <w:szCs w:val="24"/>
              </w:rPr>
              <w:t xml:space="preserve"> [47]</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 xml:space="preserve">Varies from &lt;25 to </w:t>
            </w:r>
            <w:r w:rsidRPr="009A58EA">
              <w:rPr>
                <w:rFonts w:ascii="Times New Roman" w:hAnsi="Times New Roman" w:cs="Times New Roman"/>
                <w:sz w:val="24"/>
                <w:szCs w:val="24"/>
              </w:rPr>
              <w:lastRenderedPageBreak/>
              <w:t>&gt;35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lastRenderedPageBreak/>
              <w:t xml:space="preserve">Population based </w:t>
            </w:r>
            <w:r w:rsidRPr="009A58EA">
              <w:rPr>
                <w:rFonts w:ascii="Times New Roman" w:hAnsi="Times New Roman" w:cs="Times New Roman"/>
                <w:bCs/>
                <w:sz w:val="24"/>
                <w:szCs w:val="24"/>
              </w:rPr>
              <w:lastRenderedPageBreak/>
              <w:t>cohort</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lastRenderedPageBreak/>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Yazihan, 2020</w:t>
            </w:r>
            <w:r w:rsidRPr="009A58EA">
              <w:rPr>
                <w:rFonts w:ascii="Times New Roman" w:hAnsi="Times New Roman" w:cs="Times New Roman"/>
                <w:b/>
                <w:bCs/>
                <w:sz w:val="24"/>
                <w:szCs w:val="24"/>
              </w:rPr>
              <w:t xml:space="preserve"> [48]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Aydin, 2021 [49]</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28.99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Epelboin, 2021 [50]</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cohort</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Gupta, 2021 [51]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24.7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Hcini, 2021</w:t>
            </w:r>
            <w:r w:rsidRPr="009A58EA">
              <w:rPr>
                <w:rFonts w:ascii="Times New Roman" w:hAnsi="Times New Roman" w:cs="Times New Roman"/>
                <w:b/>
                <w:bCs/>
                <w:sz w:val="24"/>
                <w:szCs w:val="24"/>
              </w:rPr>
              <w:t xml:space="preserve"> [52]</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 xml:space="preserve">Single center - </w:t>
            </w:r>
            <w:r w:rsidRPr="009A58EA">
              <w:rPr>
                <w:rFonts w:ascii="Times New Roman" w:hAnsi="Times New Roman" w:cs="Times New Roman"/>
              </w:rPr>
              <w:t>Department of Obstetrics and Gynecology of the CHOG (referral center of western French Guiana)</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Hill, 2021 [53]</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Katz, 2021 [54]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Siddiqui, 2021 [55]</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26.7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Almaghrabi, 2022 [56]</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NA</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Damar Cakirca, 2022 [57]</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Eskanazi, 2022 [58]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Total mean = 30.2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Ferrara, 2022 [59]</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Total population age = 30.7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population-based cohort study was conducted at Kaiser Permanente Northern California</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rPr>
            </w:pPr>
            <w:r w:rsidRPr="009A58EA">
              <w:rPr>
                <w:rFonts w:ascii="Times New Roman" w:hAnsi="Times New Roman" w:cs="Times New Roman"/>
              </w:rPr>
              <w:t>Carpenter and Coustan</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Kleinwechter, 2022 [60]</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32.0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International Diabetes in Pregnancy Study Groups criteria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Kurian, 2022 [61]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(&lt;35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 xml:space="preserve">Single center - </w:t>
            </w:r>
            <w:r w:rsidRPr="009A58EA">
              <w:rPr>
                <w:rFonts w:ascii="Times New Roman" w:hAnsi="Times New Roman" w:cs="Times New Roman"/>
              </w:rPr>
              <w:t>COVID-19 tertiary care hospital and teaching institute</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International Diabetes in Pregnancy Study Groups criteria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Minisha, 2022 [62]</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30.85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Monod, 2022 [63]</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IADPSG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Ortqvist, 2022 [64]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&lt;25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Radan, 2022 [65]</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30.76</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Radan AP, 2022 [66]</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NA</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three referring hospitals in Switzerland, irrespective of maternal symptoms. Infection was diagnosed with e</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Simon, 2022 [67]</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Vikas, 2022 [68]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20 to 41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Vousden, 2022 [69]</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 20 to &gt;40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Ziert, 2022 [70]</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bCs/>
                <w:sz w:val="24"/>
                <w:szCs w:val="24"/>
              </w:rPr>
              <w:t>34.09 &amp; 30.90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Multicentric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Cundubey, 2023 [71]</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International Association of Diabetes and Pregnancy Working Groups (IADPSG)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Libretti, 2024 [72]</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31.89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Xiao, 2023 [73]</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37.51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Zehra, 2023 [74]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&lt;35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Yi, 2024 [75]</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24.2, 33.4, 38.5, 40.3</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a 2 h 75 g oral glucose tolerance test (OGTT)</w:t>
            </w:r>
          </w:p>
        </w:tc>
      </w:tr>
      <w:tr w:rsidR="00BE41E3" w:rsidRPr="009A58EA" w:rsidTr="00437CC5">
        <w:trPr>
          <w:trHeight w:val="420"/>
        </w:trPr>
        <w:tc>
          <w:tcPr>
            <w:tcW w:w="2761"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bCs/>
                <w:sz w:val="24"/>
                <w:szCs w:val="24"/>
              </w:rPr>
              <w:t>Study</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bCs/>
                <w:sz w:val="24"/>
                <w:szCs w:val="24"/>
              </w:rPr>
              <w:t>Age (</w:t>
            </w:r>
            <w:r>
              <w:rPr>
                <w:rFonts w:ascii="Times New Roman" w:hAnsi="Times New Roman" w:cs="Times New Roman" w:hint="eastAsia"/>
                <w:b/>
                <w:bCs/>
                <w:sz w:val="24"/>
                <w:szCs w:val="24"/>
                <w:lang w:eastAsia="zh-CN"/>
              </w:rPr>
              <w:t>m</w:t>
            </w:r>
            <w:r w:rsidRPr="009A58EA">
              <w:rPr>
                <w:rFonts w:ascii="Times New Roman" w:hAnsi="Times New Roman" w:cs="Times New Roman"/>
                <w:b/>
                <w:bCs/>
                <w:sz w:val="24"/>
                <w:szCs w:val="24"/>
              </w:rPr>
              <w:t>ean, years)</w:t>
            </w:r>
          </w:p>
        </w:tc>
        <w:tc>
          <w:tcPr>
            <w:tcW w:w="2527" w:type="dxa"/>
            <w:vMerge w:val="restart"/>
            <w:tcBorders>
              <w:top w:val="single" w:sz="8" w:space="0" w:color="000000"/>
              <w:left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Setting</w:t>
            </w:r>
          </w:p>
        </w:tc>
        <w:tc>
          <w:tcPr>
            <w:tcW w:w="2827" w:type="dxa"/>
            <w:tcBorders>
              <w:top w:val="single" w:sz="8" w:space="0" w:color="000000"/>
              <w:left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r>
      <w:tr w:rsidR="00BE41E3" w:rsidRPr="009A58EA" w:rsidTr="00437CC5">
        <w:trPr>
          <w:trHeight w:val="420"/>
        </w:trPr>
        <w:tc>
          <w:tcPr>
            <w:tcW w:w="2761" w:type="dxa"/>
            <w:vMerge/>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COVID-19 positive</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COVID-19 negative</w:t>
            </w:r>
          </w:p>
        </w:tc>
        <w:tc>
          <w:tcPr>
            <w:tcW w:w="2527" w:type="dxa"/>
            <w:vMerge/>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827" w:type="dxa"/>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GDM diagnostic criteria</w:t>
            </w:r>
          </w:p>
        </w:tc>
      </w:tr>
      <w:tr w:rsidR="00BE41E3" w:rsidRPr="009A58EA" w:rsidTr="00437CC5">
        <w:trPr>
          <w:trHeight w:val="420"/>
        </w:trPr>
        <w:tc>
          <w:tcPr>
            <w:tcW w:w="2761" w:type="dxa"/>
            <w:tcBorders>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
                <w:bCs/>
                <w:sz w:val="24"/>
                <w:szCs w:val="24"/>
              </w:rPr>
              <w:t>GDM as a risk factor for COVID-19</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527" w:type="dxa"/>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c>
          <w:tcPr>
            <w:tcW w:w="2827" w:type="dxa"/>
            <w:tcBorders>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p>
        </w:tc>
      </w:tr>
      <w:tr w:rsidR="00BE41E3" w:rsidRPr="009A58EA" w:rsidTr="00437CC5">
        <w:trPr>
          <w:trHeight w:val="465"/>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Adhikari, 2020 [39]</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27</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27.6</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Gulersen, 2020 [40]</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Patberg, 2020 [44]</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32.2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Prabhu, 2020 [45]</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30.5&amp;31.4</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34.0</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Sakowicx, 2020 [46]</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30.6</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33.7</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Yang, 2020 [47]</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&lt;25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Population based cohort</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Yazihan, 2020 [48]</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28</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Epelboin, 2021 [50]</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31.1</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cohort</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Gupta, 2021 [51]</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24.7</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25.1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Hcini, 2021 [52]</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25</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25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Hill, 2021 [53]</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30.1</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30.9</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Katz, 2021 [54]</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30.4</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Eskanazi, 2022 [58]</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Monod, 2022 [63]</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31.7</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31.6</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IADPSG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Ortqvist, 2022 [64]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&lt;25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Multinational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keepNext/>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Radan, 2022 [65]</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30.76</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30.62</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Simon, 2022 [67]</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National study</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Cundubey, 2023 [71]</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31.2</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30.6</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rPr>
              <w:t>International Association of Diabetes and Pregnancy Working Groups (IADPSG) - OGTT</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Libretti, 2023 [72]</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31.89</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31.74</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t>Xiao, 2023 [73]</w:t>
            </w:r>
          </w:p>
        </w:tc>
        <w:tc>
          <w:tcPr>
            <w:tcW w:w="131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30.57</w:t>
            </w:r>
          </w:p>
        </w:tc>
        <w:tc>
          <w:tcPr>
            <w:tcW w:w="900" w:type="dxa"/>
            <w:tcBorders>
              <w:top w:val="single" w:sz="8" w:space="0" w:color="000000"/>
              <w:left w:val="single" w:sz="8" w:space="0" w:color="000000"/>
              <w:bottom w:val="single" w:sz="8" w:space="0" w:color="000000"/>
              <w:right w:val="single" w:sz="8" w:space="0" w:color="000000"/>
            </w:tcBorders>
            <w:shd w:val="clear" w:color="auto" w:fill="auto"/>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31.53</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r w:rsidR="00BE41E3" w:rsidRPr="009A58EA" w:rsidTr="00437CC5">
        <w:trPr>
          <w:trHeight w:val="398"/>
        </w:trPr>
        <w:tc>
          <w:tcPr>
            <w:tcW w:w="276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b/>
                <w:sz w:val="24"/>
                <w:szCs w:val="24"/>
              </w:rPr>
            </w:pPr>
            <w:r w:rsidRPr="009A58EA">
              <w:rPr>
                <w:rFonts w:ascii="Times New Roman" w:hAnsi="Times New Roman" w:cs="Times New Roman"/>
                <w:b/>
                <w:sz w:val="24"/>
                <w:szCs w:val="24"/>
              </w:rPr>
              <w:lastRenderedPageBreak/>
              <w:t>Zehra, 2023 [74]</w:t>
            </w:r>
          </w:p>
        </w:tc>
        <w:tc>
          <w:tcPr>
            <w:tcW w:w="2215"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BE41E3" w:rsidRPr="009A58EA" w:rsidRDefault="00BE41E3" w:rsidP="00437CC5">
            <w:pPr>
              <w:adjustRightInd w:val="0"/>
              <w:snapToGrid w:val="0"/>
              <w:spacing w:after="0" w:line="240" w:lineRule="auto"/>
              <w:rPr>
                <w:rFonts w:ascii="Times New Roman" w:hAnsi="Times New Roman" w:cs="Times New Roman"/>
                <w:sz w:val="24"/>
                <w:szCs w:val="24"/>
              </w:rPr>
            </w:pPr>
            <w:r w:rsidRPr="009A58EA">
              <w:rPr>
                <w:rFonts w:ascii="Times New Roman" w:hAnsi="Times New Roman" w:cs="Times New Roman"/>
                <w:sz w:val="24"/>
                <w:szCs w:val="24"/>
              </w:rPr>
              <w:t>Varies from &lt;35 to &gt;35</w:t>
            </w:r>
          </w:p>
        </w:tc>
        <w:tc>
          <w:tcPr>
            <w:tcW w:w="25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Single center</w:t>
            </w:r>
          </w:p>
        </w:tc>
        <w:tc>
          <w:tcPr>
            <w:tcW w:w="2827" w:type="dxa"/>
            <w:tcBorders>
              <w:top w:val="single" w:sz="8" w:space="0" w:color="000000"/>
              <w:left w:val="single" w:sz="8" w:space="0" w:color="000000"/>
              <w:bottom w:val="single" w:sz="8" w:space="0" w:color="000000"/>
              <w:right w:val="single" w:sz="8" w:space="0" w:color="000000"/>
            </w:tcBorders>
          </w:tcPr>
          <w:p w:rsidR="00BE41E3" w:rsidRPr="009A58EA" w:rsidRDefault="00BE41E3" w:rsidP="00437CC5">
            <w:pPr>
              <w:adjustRightInd w:val="0"/>
              <w:snapToGrid w:val="0"/>
              <w:spacing w:after="0" w:line="240" w:lineRule="auto"/>
              <w:rPr>
                <w:rFonts w:ascii="Times New Roman" w:hAnsi="Times New Roman" w:cs="Times New Roman"/>
                <w:bCs/>
                <w:sz w:val="24"/>
                <w:szCs w:val="24"/>
              </w:rPr>
            </w:pPr>
            <w:r w:rsidRPr="009A58EA">
              <w:rPr>
                <w:rFonts w:ascii="Times New Roman" w:hAnsi="Times New Roman" w:cs="Times New Roman"/>
                <w:bCs/>
                <w:sz w:val="24"/>
                <w:szCs w:val="24"/>
              </w:rPr>
              <w:t>NA</w:t>
            </w:r>
          </w:p>
        </w:tc>
      </w:tr>
    </w:tbl>
    <w:p w:rsidR="00BE41E3" w:rsidRPr="009A58EA" w:rsidRDefault="00BE41E3" w:rsidP="00BE41E3">
      <w:pPr>
        <w:pStyle w:val="NormalWeb"/>
        <w:adjustRightInd w:val="0"/>
        <w:snapToGrid w:val="0"/>
        <w:spacing w:before="0" w:beforeAutospacing="0" w:after="0" w:afterAutospacing="0"/>
      </w:pPr>
      <w:r w:rsidRPr="009A58EA">
        <w:t>NA: Not available; GDM, gestational diabetes mellitus; COVID-19, coronavirus disease 2019; OGTT, Oral Glucose tolerance test; GCT, Glucose challenge test; GTT, Glucose tolerance test; IADPSG, International Association of Diabetes and Pregnancy Study Groups.</w:t>
      </w:r>
    </w:p>
    <w:p w:rsidR="009C43F0" w:rsidRDefault="009C43F0"/>
    <w:sectPr w:rsidR="009C43F0">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useFELayout/>
  </w:compat>
  <w:rsids>
    <w:rsidRoot w:val="00BE41E3"/>
    <w:rsid w:val="009C43F0"/>
    <w:rsid w:val="00BE4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BE41E3"/>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1195</Words>
  <Characters>6813</Characters>
  <Application>Microsoft Office Word</Application>
  <DocSecurity>0</DocSecurity>
  <Lines>56</Lines>
  <Paragraphs>15</Paragraphs>
  <ScaleCrop>false</ScaleCrop>
  <Company/>
  <LinksUpToDate>false</LinksUpToDate>
  <CharactersWithSpaces>7993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2024-09-25T01:31:00Z</dcterms:created>
  <dcterms:modified xsi:type="dcterms:W3CDTF">2024-09-25T01:31:00Z</dcterms:modified>
</cp:coreProperties>
</file>