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39" w:rsidRDefault="00BD1F39" w:rsidP="00BD1F3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D1F39" w:rsidRPr="009A58EA" w:rsidRDefault="00BD1F39" w:rsidP="00BD1F3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</w:rPr>
        <w:t>2.1 Comparison of the prevalence of GDM during pandemic and pre-pandemic period:</w:t>
      </w:r>
    </w:p>
    <w:p w:rsidR="00BD1F39" w:rsidRDefault="00BD1F39" w:rsidP="00BD1F3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D1F39" w:rsidRPr="009A58EA" w:rsidRDefault="00BD1F39" w:rsidP="00BD1F39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4.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comparing the prevalence of GDM during pandemic and pre-pandemic period stratified by WHO specified regions. GDM, gestational diabetes mellitus; COVID-19, coronavirus disease 2019; WHO, World Health Organisation.</w:t>
      </w:r>
    </w:p>
    <w:p w:rsidR="00BD1F39" w:rsidRPr="009A58EA" w:rsidRDefault="00BD1F39" w:rsidP="00BD1F39">
      <w:pPr>
        <w:pStyle w:val="NormalWeb"/>
        <w:adjustRightInd w:val="0"/>
        <w:snapToGrid w:val="0"/>
        <w:spacing w:before="0" w:beforeAutospacing="0" w:after="0" w:afterAutospacing="0"/>
      </w:pPr>
    </w:p>
    <w:p w:rsidR="00BD1F39" w:rsidRPr="009A58EA" w:rsidRDefault="00BD1F39" w:rsidP="00BD1F39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noProof/>
        </w:rPr>
        <w:drawing>
          <wp:inline distT="0" distB="0" distL="0" distR="0">
            <wp:extent cx="6422390" cy="6648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269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39" w:rsidRPr="009A58EA" w:rsidRDefault="00BD1F39" w:rsidP="00BD1F39">
      <w:pPr>
        <w:pStyle w:val="NormalWeb"/>
        <w:adjustRightInd w:val="0"/>
        <w:snapToGrid w:val="0"/>
        <w:spacing w:before="0" w:beforeAutospacing="0" w:after="0" w:afterAutospacing="0"/>
      </w:pPr>
    </w:p>
    <w:p w:rsidR="00BD1F39" w:rsidRPr="009A58EA" w:rsidRDefault="00BD1F39" w:rsidP="00BD1F3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C8205F" w:rsidRDefault="00C8205F"/>
    <w:sectPr w:rsidR="00C820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BD1F39"/>
    <w:rsid w:val="00BD1F39"/>
    <w:rsid w:val="00C8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D1F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2024-09-25T01:32:00Z</dcterms:created>
  <dcterms:modified xsi:type="dcterms:W3CDTF">2024-09-25T01:32:00Z</dcterms:modified>
</cp:coreProperties>
</file>