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89A" w:rsidRPr="00DE7C70" w:rsidRDefault="004B689A" w:rsidP="004B689A">
      <w:pPr>
        <w:pStyle w:val="Para"/>
        <w:rPr>
          <w:b/>
          <w:bCs/>
          <w:shd w:val="clear" w:color="auto" w:fill="FFFFFF"/>
          <w:lang w:eastAsia="zh-CN"/>
        </w:rPr>
      </w:pPr>
    </w:p>
    <w:p w:rsidR="004B689A" w:rsidRPr="00DE7C70" w:rsidRDefault="004B689A" w:rsidP="004B689A">
      <w:pPr>
        <w:pStyle w:val="Para"/>
        <w:rPr>
          <w:shd w:val="clear" w:color="auto" w:fill="FFFFFF"/>
        </w:rPr>
      </w:pPr>
    </w:p>
    <w:p w:rsidR="004B689A" w:rsidRPr="00DE7C70" w:rsidRDefault="004B689A" w:rsidP="004B689A">
      <w:pPr>
        <w:pStyle w:val="Table"/>
        <w:rPr>
          <w:lang w:eastAsia="zh-CN"/>
        </w:rPr>
      </w:pPr>
      <w:r>
        <w:rPr>
          <w:b/>
        </w:rPr>
        <w:t>Suppl</w:t>
      </w:r>
      <w:r w:rsidRPr="00DE7C70">
        <w:rPr>
          <w:b/>
        </w:rPr>
        <w:t xml:space="preserve"> </w:t>
      </w:r>
      <w:r>
        <w:rPr>
          <w:b/>
        </w:rPr>
        <w:t>1</w:t>
      </w:r>
      <w:r w:rsidRPr="00DE7C70">
        <w:rPr>
          <w:b/>
          <w:lang w:eastAsia="zh-CN"/>
        </w:rPr>
        <w:t xml:space="preserve">. </w:t>
      </w:r>
      <w:r w:rsidRPr="00DE7C70">
        <w:t xml:space="preserve">Characteristics of the </w:t>
      </w:r>
      <w:r w:rsidRPr="00DE7C70">
        <w:rPr>
          <w:lang w:eastAsia="zh-CN"/>
        </w:rPr>
        <w:t>S</w:t>
      </w:r>
      <w:r w:rsidRPr="00DE7C70">
        <w:t xml:space="preserve">tudies </w:t>
      </w:r>
      <w:r w:rsidRPr="00DE7C70">
        <w:rPr>
          <w:lang w:eastAsia="zh-CN"/>
        </w:rPr>
        <w:t>I</w:t>
      </w:r>
      <w:r w:rsidRPr="00DE7C70">
        <w:t xml:space="preserve">ncluded in the </w:t>
      </w:r>
      <w:r w:rsidRPr="00DE7C70">
        <w:rPr>
          <w:lang w:eastAsia="zh-CN"/>
        </w:rPr>
        <w:t>S</w:t>
      </w:r>
      <w:r w:rsidRPr="00DE7C70">
        <w:t xml:space="preserve">ystematic </w:t>
      </w:r>
      <w:r w:rsidRPr="00DE7C70">
        <w:rPr>
          <w:lang w:eastAsia="zh-CN"/>
        </w:rPr>
        <w:t>R</w:t>
      </w:r>
      <w:r w:rsidRPr="00DE7C70">
        <w:t xml:space="preserve">eview </w:t>
      </w:r>
      <w:r w:rsidRPr="00DE7C70">
        <w:rPr>
          <w:lang w:eastAsia="zh-CN"/>
        </w:rPr>
        <w:t>W</w:t>
      </w:r>
      <w:r w:rsidRPr="00DE7C70">
        <w:t xml:space="preserve">ith the </w:t>
      </w:r>
      <w:r w:rsidRPr="00DE7C70">
        <w:rPr>
          <w:lang w:eastAsia="zh-CN"/>
        </w:rPr>
        <w:t>M</w:t>
      </w:r>
      <w:r w:rsidRPr="00DE7C70">
        <w:t xml:space="preserve">ain </w:t>
      </w:r>
      <w:r w:rsidRPr="00DE7C70">
        <w:rPr>
          <w:lang w:eastAsia="zh-CN"/>
        </w:rPr>
        <w:t>F</w:t>
      </w:r>
      <w:r w:rsidRPr="00DE7C70">
        <w:t xml:space="preserve">indings and </w:t>
      </w:r>
      <w:r w:rsidRPr="00DE7C70">
        <w:rPr>
          <w:lang w:eastAsia="zh-CN"/>
        </w:rPr>
        <w:t>S</w:t>
      </w:r>
      <w:r w:rsidRPr="00DE7C70">
        <w:t xml:space="preserve">ummary of </w:t>
      </w:r>
      <w:r w:rsidRPr="00DE7C70">
        <w:rPr>
          <w:lang w:eastAsia="zh-CN"/>
        </w:rPr>
        <w:t>K</w:t>
      </w:r>
      <w:r w:rsidRPr="00DE7C70">
        <w:t xml:space="preserve">ey </w:t>
      </w:r>
      <w:r w:rsidRPr="00DE7C70">
        <w:rPr>
          <w:lang w:eastAsia="zh-CN"/>
        </w:rPr>
        <w:t>F</w:t>
      </w:r>
      <w:r w:rsidRPr="00DE7C70">
        <w:t>indings (n</w:t>
      </w:r>
      <w:r w:rsidRPr="00DE7C70">
        <w:rPr>
          <w:lang w:eastAsia="zh-CN"/>
        </w:rPr>
        <w:t xml:space="preserve"> </w:t>
      </w:r>
      <w:r w:rsidRPr="00DE7C70">
        <w:t>=</w:t>
      </w:r>
      <w:r w:rsidRPr="00DE7C70">
        <w:rPr>
          <w:lang w:eastAsia="zh-CN"/>
        </w:rPr>
        <w:t xml:space="preserve"> 11</w:t>
      </w:r>
      <w:r w:rsidRPr="00DE7C70">
        <w:t>)</w:t>
      </w:r>
    </w:p>
    <w:tbl>
      <w:tblPr>
        <w:tblStyle w:val="TableGrid"/>
        <w:tblW w:w="5000" w:type="pct"/>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tblPr>
      <w:tblGrid>
        <w:gridCol w:w="866"/>
        <w:gridCol w:w="1036"/>
        <w:gridCol w:w="914"/>
        <w:gridCol w:w="937"/>
        <w:gridCol w:w="723"/>
        <w:gridCol w:w="993"/>
        <w:gridCol w:w="1048"/>
        <w:gridCol w:w="1191"/>
        <w:gridCol w:w="1148"/>
      </w:tblGrid>
      <w:tr w:rsidR="004B689A" w:rsidRPr="00DE7C70" w:rsidTr="00D51785">
        <w:trPr>
          <w:trHeight w:val="533"/>
          <w:tblHeader/>
        </w:trPr>
        <w:tc>
          <w:tcPr>
            <w:tcW w:w="476" w:type="pct"/>
            <w:tcBorders>
              <w:top w:val="single" w:sz="4" w:space="0" w:color="000000" w:themeColor="text1"/>
              <w:bottom w:val="single" w:sz="4" w:space="0" w:color="000000" w:themeColor="text1"/>
            </w:tcBorders>
            <w:vAlign w:val="center"/>
          </w:tcPr>
          <w:p w:rsidR="004B689A" w:rsidRPr="00DE7C70" w:rsidRDefault="004B689A" w:rsidP="00D51785">
            <w:pPr>
              <w:pStyle w:val="Para"/>
              <w:rPr>
                <w:rFonts w:eastAsiaTheme="minorEastAsia"/>
                <w:b/>
                <w:bCs/>
                <w:sz w:val="20"/>
                <w:szCs w:val="20"/>
              </w:rPr>
            </w:pPr>
            <w:r w:rsidRPr="00DE7C70">
              <w:rPr>
                <w:rFonts w:eastAsiaTheme="minorEastAsia"/>
                <w:b/>
                <w:bCs/>
                <w:sz w:val="20"/>
                <w:szCs w:val="20"/>
              </w:rPr>
              <w:t>Name of the study and author</w:t>
            </w:r>
          </w:p>
        </w:tc>
        <w:tc>
          <w:tcPr>
            <w:tcW w:w="514" w:type="pct"/>
            <w:tcBorders>
              <w:top w:val="single" w:sz="4" w:space="0" w:color="000000" w:themeColor="text1"/>
              <w:bottom w:val="single" w:sz="4" w:space="0" w:color="000000" w:themeColor="text1"/>
            </w:tcBorders>
            <w:vAlign w:val="center"/>
          </w:tcPr>
          <w:p w:rsidR="004B689A" w:rsidRPr="00DE7C70" w:rsidRDefault="004B689A" w:rsidP="00D51785">
            <w:pPr>
              <w:pStyle w:val="Para"/>
              <w:rPr>
                <w:rFonts w:eastAsiaTheme="minorEastAsia"/>
                <w:b/>
                <w:bCs/>
                <w:sz w:val="20"/>
                <w:szCs w:val="20"/>
              </w:rPr>
            </w:pPr>
            <w:r w:rsidRPr="00DE7C70">
              <w:rPr>
                <w:rFonts w:eastAsiaTheme="minorEastAsia"/>
                <w:b/>
                <w:bCs/>
                <w:sz w:val="20"/>
                <w:szCs w:val="20"/>
              </w:rPr>
              <w:t>Type of study</w:t>
            </w:r>
          </w:p>
        </w:tc>
        <w:tc>
          <w:tcPr>
            <w:tcW w:w="450" w:type="pct"/>
            <w:tcBorders>
              <w:top w:val="single" w:sz="4" w:space="0" w:color="000000" w:themeColor="text1"/>
              <w:bottom w:val="single" w:sz="4" w:space="0" w:color="000000" w:themeColor="text1"/>
            </w:tcBorders>
            <w:vAlign w:val="center"/>
          </w:tcPr>
          <w:p w:rsidR="004B689A" w:rsidRPr="00DE7C70" w:rsidRDefault="004B689A" w:rsidP="00D51785">
            <w:pPr>
              <w:pStyle w:val="Para"/>
              <w:rPr>
                <w:rFonts w:eastAsiaTheme="minorEastAsia"/>
                <w:b/>
                <w:bCs/>
                <w:sz w:val="20"/>
                <w:szCs w:val="20"/>
              </w:rPr>
            </w:pPr>
            <w:r w:rsidRPr="00DE7C70">
              <w:rPr>
                <w:rFonts w:eastAsiaTheme="minorEastAsia"/>
                <w:b/>
                <w:bCs/>
                <w:sz w:val="20"/>
                <w:szCs w:val="20"/>
              </w:rPr>
              <w:t>Publication year</w:t>
            </w:r>
          </w:p>
        </w:tc>
        <w:tc>
          <w:tcPr>
            <w:tcW w:w="462" w:type="pct"/>
            <w:tcBorders>
              <w:top w:val="single" w:sz="4" w:space="0" w:color="000000" w:themeColor="text1"/>
              <w:bottom w:val="single" w:sz="4" w:space="0" w:color="000000" w:themeColor="text1"/>
            </w:tcBorders>
            <w:vAlign w:val="center"/>
          </w:tcPr>
          <w:p w:rsidR="004B689A" w:rsidRPr="00DE7C70" w:rsidRDefault="004B689A" w:rsidP="00D51785">
            <w:pPr>
              <w:pStyle w:val="Para"/>
              <w:rPr>
                <w:rFonts w:eastAsiaTheme="minorEastAsia"/>
                <w:b/>
                <w:bCs/>
                <w:sz w:val="20"/>
                <w:szCs w:val="20"/>
              </w:rPr>
            </w:pPr>
            <w:r w:rsidRPr="00DE7C70">
              <w:rPr>
                <w:rFonts w:eastAsiaTheme="minorEastAsia"/>
                <w:b/>
                <w:bCs/>
                <w:sz w:val="20"/>
                <w:szCs w:val="20"/>
              </w:rPr>
              <w:t>Setting</w:t>
            </w:r>
          </w:p>
        </w:tc>
        <w:tc>
          <w:tcPr>
            <w:tcW w:w="360" w:type="pct"/>
            <w:tcBorders>
              <w:top w:val="single" w:sz="4" w:space="0" w:color="000000" w:themeColor="text1"/>
              <w:bottom w:val="single" w:sz="4" w:space="0" w:color="000000" w:themeColor="text1"/>
            </w:tcBorders>
            <w:vAlign w:val="center"/>
          </w:tcPr>
          <w:p w:rsidR="004B689A" w:rsidRPr="00DE7C70" w:rsidRDefault="004B689A" w:rsidP="00D51785">
            <w:pPr>
              <w:pStyle w:val="Para"/>
              <w:rPr>
                <w:rFonts w:eastAsiaTheme="minorEastAsia"/>
                <w:b/>
                <w:bCs/>
                <w:sz w:val="20"/>
                <w:szCs w:val="20"/>
              </w:rPr>
            </w:pPr>
            <w:r w:rsidRPr="00DE7C70">
              <w:rPr>
                <w:rFonts w:eastAsiaTheme="minorEastAsia"/>
                <w:b/>
                <w:bCs/>
                <w:sz w:val="20"/>
                <w:szCs w:val="20"/>
              </w:rPr>
              <w:t>Sample size</w:t>
            </w:r>
          </w:p>
        </w:tc>
        <w:tc>
          <w:tcPr>
            <w:tcW w:w="491" w:type="pct"/>
            <w:tcBorders>
              <w:top w:val="single" w:sz="4" w:space="0" w:color="000000" w:themeColor="text1"/>
              <w:bottom w:val="single" w:sz="4" w:space="0" w:color="000000" w:themeColor="text1"/>
            </w:tcBorders>
            <w:vAlign w:val="center"/>
          </w:tcPr>
          <w:p w:rsidR="004B689A" w:rsidRPr="00DE7C70" w:rsidRDefault="004B689A" w:rsidP="00D51785">
            <w:pPr>
              <w:pStyle w:val="Para"/>
              <w:rPr>
                <w:rFonts w:eastAsiaTheme="minorEastAsia"/>
                <w:b/>
                <w:bCs/>
                <w:sz w:val="20"/>
                <w:szCs w:val="20"/>
              </w:rPr>
            </w:pPr>
            <w:r w:rsidRPr="00DE7C70">
              <w:rPr>
                <w:rFonts w:eastAsiaTheme="minorEastAsia"/>
                <w:b/>
                <w:bCs/>
                <w:sz w:val="20"/>
                <w:szCs w:val="20"/>
              </w:rPr>
              <w:t>Analysis</w:t>
            </w:r>
          </w:p>
        </w:tc>
        <w:tc>
          <w:tcPr>
            <w:tcW w:w="928" w:type="pct"/>
            <w:tcBorders>
              <w:top w:val="single" w:sz="4" w:space="0" w:color="000000" w:themeColor="text1"/>
              <w:bottom w:val="single" w:sz="4" w:space="0" w:color="000000" w:themeColor="text1"/>
            </w:tcBorders>
            <w:vAlign w:val="center"/>
          </w:tcPr>
          <w:p w:rsidR="004B689A" w:rsidRPr="00DE7C70" w:rsidRDefault="004B689A" w:rsidP="00D51785">
            <w:pPr>
              <w:pStyle w:val="Para"/>
              <w:rPr>
                <w:rFonts w:eastAsiaTheme="minorEastAsia"/>
                <w:b/>
                <w:bCs/>
                <w:sz w:val="20"/>
                <w:szCs w:val="20"/>
              </w:rPr>
            </w:pPr>
            <w:r w:rsidRPr="00DE7C70">
              <w:rPr>
                <w:rFonts w:eastAsiaTheme="minorEastAsia"/>
                <w:b/>
                <w:bCs/>
                <w:sz w:val="20"/>
                <w:szCs w:val="20"/>
              </w:rPr>
              <w:t>Major confounders</w:t>
            </w:r>
          </w:p>
        </w:tc>
        <w:tc>
          <w:tcPr>
            <w:tcW w:w="746" w:type="pct"/>
            <w:tcBorders>
              <w:top w:val="single" w:sz="4" w:space="0" w:color="000000" w:themeColor="text1"/>
              <w:bottom w:val="single" w:sz="4" w:space="0" w:color="000000" w:themeColor="text1"/>
            </w:tcBorders>
            <w:vAlign w:val="center"/>
          </w:tcPr>
          <w:p w:rsidR="004B689A" w:rsidRPr="00DE7C70" w:rsidRDefault="004B689A" w:rsidP="00D51785">
            <w:pPr>
              <w:pStyle w:val="Para"/>
              <w:rPr>
                <w:rFonts w:eastAsiaTheme="minorEastAsia"/>
                <w:b/>
                <w:bCs/>
                <w:sz w:val="20"/>
                <w:szCs w:val="20"/>
              </w:rPr>
            </w:pPr>
            <w:r w:rsidRPr="00DE7C70">
              <w:rPr>
                <w:rFonts w:eastAsiaTheme="minorEastAsia"/>
                <w:b/>
                <w:bCs/>
                <w:sz w:val="20"/>
                <w:szCs w:val="20"/>
              </w:rPr>
              <w:t>Main findings</w:t>
            </w:r>
          </w:p>
        </w:tc>
        <w:tc>
          <w:tcPr>
            <w:tcW w:w="573" w:type="pct"/>
            <w:tcBorders>
              <w:top w:val="single" w:sz="4" w:space="0" w:color="000000" w:themeColor="text1"/>
              <w:bottom w:val="single" w:sz="4" w:space="0" w:color="000000" w:themeColor="text1"/>
            </w:tcBorders>
            <w:vAlign w:val="center"/>
          </w:tcPr>
          <w:p w:rsidR="004B689A" w:rsidRPr="00DE7C70" w:rsidRDefault="004B689A" w:rsidP="00D51785">
            <w:pPr>
              <w:pStyle w:val="Para"/>
              <w:rPr>
                <w:rFonts w:eastAsiaTheme="minorEastAsia"/>
                <w:b/>
                <w:bCs/>
                <w:sz w:val="20"/>
                <w:szCs w:val="20"/>
              </w:rPr>
            </w:pPr>
            <w:r w:rsidRPr="00DE7C70">
              <w:rPr>
                <w:rFonts w:eastAsiaTheme="minorEastAsia"/>
                <w:b/>
                <w:bCs/>
                <w:sz w:val="20"/>
                <w:szCs w:val="20"/>
              </w:rPr>
              <w:t>Summary of findings</w:t>
            </w:r>
          </w:p>
        </w:tc>
      </w:tr>
      <w:tr w:rsidR="004B689A" w:rsidRPr="00DE7C70" w:rsidTr="00D51785">
        <w:trPr>
          <w:trHeight w:val="3707"/>
        </w:trPr>
        <w:tc>
          <w:tcPr>
            <w:tcW w:w="476" w:type="pct"/>
            <w:tcBorders>
              <w:top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Khunti et al, 2021 </w:t>
            </w:r>
            <w:r w:rsidRPr="00DE7C70">
              <w:rPr>
                <w:rFonts w:eastAsiaTheme="minorEastAsia"/>
                <w:noProof/>
                <w:sz w:val="20"/>
                <w:szCs w:val="20"/>
              </w:rPr>
              <w:t>[29]</w:t>
            </w:r>
            <w:r w:rsidRPr="00DE7C70">
              <w:rPr>
                <w:rFonts w:eastAsiaTheme="minorEastAsia"/>
                <w:sz w:val="20"/>
                <w:szCs w:val="20"/>
              </w:rPr>
              <w:t xml:space="preserve"> </w:t>
            </w:r>
          </w:p>
        </w:tc>
        <w:tc>
          <w:tcPr>
            <w:tcW w:w="514" w:type="pct"/>
            <w:tcBorders>
              <w:top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t>Nationwide population-based observational cohort study</w:t>
            </w:r>
          </w:p>
        </w:tc>
        <w:tc>
          <w:tcPr>
            <w:tcW w:w="450" w:type="pct"/>
            <w:tcBorders>
              <w:top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t>2021</w:t>
            </w:r>
          </w:p>
        </w:tc>
        <w:tc>
          <w:tcPr>
            <w:tcW w:w="462" w:type="pct"/>
            <w:tcBorders>
              <w:top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t>UK</w:t>
            </w:r>
          </w:p>
        </w:tc>
        <w:tc>
          <w:tcPr>
            <w:tcW w:w="360" w:type="pct"/>
            <w:tcBorders>
              <w:top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shd w:val="clear" w:color="auto" w:fill="FFFFFF"/>
              </w:rPr>
              <w:t xml:space="preserve"> 2.85 million</w:t>
            </w:r>
          </w:p>
        </w:tc>
        <w:tc>
          <w:tcPr>
            <w:tcW w:w="491" w:type="pct"/>
            <w:tcBorders>
              <w:top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t>Cox regression</w:t>
            </w:r>
          </w:p>
        </w:tc>
        <w:tc>
          <w:tcPr>
            <w:tcW w:w="928" w:type="pct"/>
            <w:tcBorders>
              <w:top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Age, ethnicity, sex, duration of diabetes, smoking status, </w:t>
            </w:r>
            <w:bookmarkStart w:id="0" w:name="OLE_LINK26"/>
            <w:r w:rsidRPr="00DE7C70">
              <w:rPr>
                <w:sz w:val="20"/>
                <w:szCs w:val="20"/>
              </w:rPr>
              <w:t>body mass index, and comorbid</w:t>
            </w:r>
            <w:bookmarkEnd w:id="0"/>
            <w:r w:rsidRPr="00DE7C70">
              <w:rPr>
                <w:sz w:val="20"/>
                <w:szCs w:val="20"/>
              </w:rPr>
              <w:t>ity</w:t>
            </w:r>
          </w:p>
        </w:tc>
        <w:tc>
          <w:tcPr>
            <w:tcW w:w="746" w:type="pct"/>
            <w:tcBorders>
              <w:top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There was no evidence to support a protective effect of DDP4 inhibitors on the outcomes among diabetic patients with COVID-19. The authors studied 2,851,465 people with type 2 DM and the findings revealed a negligible evidence of association between DDP4 inhibitors and COVID-related mortality (hazard ratio: 1.07; 95% confidence interval: 1.01 - 1.13). These differences in the hazard ratio of mortality </w:t>
            </w:r>
            <w:r w:rsidRPr="00DE7C70">
              <w:rPr>
                <w:rFonts w:eastAsiaTheme="minorEastAsia"/>
                <w:sz w:val="20"/>
                <w:szCs w:val="20"/>
              </w:rPr>
              <w:lastRenderedPageBreak/>
              <w:t>are minute and are probably due to confounding by indication because these are less likely to be used on older or frail people.</w:t>
            </w:r>
          </w:p>
        </w:tc>
        <w:tc>
          <w:tcPr>
            <w:tcW w:w="573" w:type="pct"/>
            <w:tcBorders>
              <w:top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lastRenderedPageBreak/>
              <w:t>There was a negligible effect of DDP4 inhibitors on the COVID-related mortality among diabetic patients. No effect on morbidity was assessed.</w:t>
            </w:r>
          </w:p>
        </w:tc>
      </w:tr>
      <w:tr w:rsidR="004B689A" w:rsidRPr="00DE7C70" w:rsidTr="00D51785">
        <w:trPr>
          <w:trHeight w:val="3707"/>
        </w:trPr>
        <w:tc>
          <w:tcPr>
            <w:tcW w:w="476" w:type="pct"/>
          </w:tcPr>
          <w:p w:rsidR="004B689A" w:rsidRPr="00DE7C70" w:rsidRDefault="004B689A" w:rsidP="00D51785">
            <w:pPr>
              <w:pStyle w:val="Para"/>
              <w:rPr>
                <w:rFonts w:eastAsiaTheme="minorEastAsia"/>
                <w:sz w:val="20"/>
                <w:szCs w:val="20"/>
              </w:rPr>
            </w:pPr>
            <w:r w:rsidRPr="00DE7C70">
              <w:rPr>
                <w:rFonts w:eastAsiaTheme="minorEastAsia"/>
                <w:sz w:val="20"/>
                <w:szCs w:val="20"/>
              </w:rPr>
              <w:lastRenderedPageBreak/>
              <w:t xml:space="preserve">Wander et al, 2021 </w:t>
            </w:r>
            <w:r w:rsidRPr="00DE7C70">
              <w:rPr>
                <w:rFonts w:eastAsiaTheme="minorEastAsia"/>
                <w:noProof/>
                <w:sz w:val="20"/>
                <w:szCs w:val="20"/>
              </w:rPr>
              <w:t>[28]</w:t>
            </w:r>
          </w:p>
        </w:tc>
        <w:tc>
          <w:tcPr>
            <w:tcW w:w="514" w:type="pct"/>
          </w:tcPr>
          <w:p w:rsidR="004B689A" w:rsidRPr="00DE7C70" w:rsidRDefault="004B689A" w:rsidP="00D51785">
            <w:pPr>
              <w:pStyle w:val="Para"/>
              <w:rPr>
                <w:rFonts w:eastAsiaTheme="minorEastAsia"/>
                <w:sz w:val="20"/>
                <w:szCs w:val="20"/>
              </w:rPr>
            </w:pPr>
            <w:r w:rsidRPr="00DE7C70">
              <w:rPr>
                <w:rFonts w:eastAsiaTheme="minorEastAsia"/>
                <w:sz w:val="20"/>
                <w:szCs w:val="20"/>
              </w:rPr>
              <w:t>Retrospective study</w:t>
            </w:r>
          </w:p>
        </w:tc>
        <w:tc>
          <w:tcPr>
            <w:tcW w:w="450" w:type="pct"/>
          </w:tcPr>
          <w:p w:rsidR="004B689A" w:rsidRPr="00DE7C70" w:rsidRDefault="004B689A" w:rsidP="00D51785">
            <w:pPr>
              <w:pStyle w:val="Para"/>
              <w:rPr>
                <w:rFonts w:eastAsiaTheme="minorEastAsia"/>
                <w:sz w:val="20"/>
                <w:szCs w:val="20"/>
              </w:rPr>
            </w:pPr>
            <w:r w:rsidRPr="00DE7C70">
              <w:rPr>
                <w:rFonts w:eastAsiaTheme="minorEastAsia"/>
                <w:sz w:val="20"/>
                <w:szCs w:val="20"/>
              </w:rPr>
              <w:t>2021</w:t>
            </w:r>
          </w:p>
        </w:tc>
        <w:tc>
          <w:tcPr>
            <w:tcW w:w="462" w:type="pct"/>
          </w:tcPr>
          <w:p w:rsidR="004B689A" w:rsidRPr="00DE7C70" w:rsidRDefault="004B689A" w:rsidP="00D51785">
            <w:pPr>
              <w:pStyle w:val="Para"/>
              <w:rPr>
                <w:rFonts w:eastAsiaTheme="minorEastAsia"/>
                <w:sz w:val="20"/>
                <w:szCs w:val="20"/>
              </w:rPr>
            </w:pPr>
            <w:r w:rsidRPr="00DE7C70">
              <w:rPr>
                <w:rFonts w:eastAsiaTheme="minorEastAsia"/>
                <w:sz w:val="20"/>
                <w:szCs w:val="20"/>
              </w:rPr>
              <w:t>USA</w:t>
            </w:r>
          </w:p>
        </w:tc>
        <w:tc>
          <w:tcPr>
            <w:tcW w:w="360" w:type="pct"/>
          </w:tcPr>
          <w:p w:rsidR="004B689A" w:rsidRPr="00DE7C70" w:rsidRDefault="004B689A" w:rsidP="00D51785">
            <w:pPr>
              <w:pStyle w:val="Para"/>
              <w:rPr>
                <w:rFonts w:eastAsiaTheme="minorEastAsia"/>
                <w:sz w:val="20"/>
                <w:szCs w:val="20"/>
              </w:rPr>
            </w:pPr>
            <w:r w:rsidRPr="00DE7C70">
              <w:rPr>
                <w:rFonts w:eastAsiaTheme="minorEastAsia"/>
                <w:sz w:val="20"/>
                <w:szCs w:val="20"/>
              </w:rPr>
              <w:t>35,879</w:t>
            </w:r>
          </w:p>
        </w:tc>
        <w:tc>
          <w:tcPr>
            <w:tcW w:w="491" w:type="pct"/>
          </w:tcPr>
          <w:p w:rsidR="004B689A" w:rsidRPr="00DE7C70" w:rsidRDefault="004B689A" w:rsidP="00D51785">
            <w:pPr>
              <w:pStyle w:val="Para"/>
              <w:rPr>
                <w:rFonts w:eastAsiaTheme="minorEastAsia"/>
                <w:sz w:val="20"/>
                <w:szCs w:val="20"/>
              </w:rPr>
            </w:pPr>
            <w:r w:rsidRPr="00DE7C70">
              <w:rPr>
                <w:rFonts w:eastAsiaTheme="minorEastAsia"/>
                <w:sz w:val="20"/>
                <w:szCs w:val="20"/>
              </w:rPr>
              <w:t>Logistic and Cox regression models</w:t>
            </w:r>
          </w:p>
        </w:tc>
        <w:tc>
          <w:tcPr>
            <w:tcW w:w="928" w:type="pct"/>
          </w:tcPr>
          <w:p w:rsidR="004B689A" w:rsidRPr="00DE7C70" w:rsidRDefault="004B689A" w:rsidP="00D51785">
            <w:pPr>
              <w:pStyle w:val="Para"/>
              <w:rPr>
                <w:rFonts w:eastAsiaTheme="minorEastAsia"/>
                <w:sz w:val="20"/>
                <w:szCs w:val="20"/>
              </w:rPr>
            </w:pPr>
            <w:r w:rsidRPr="00DE7C70">
              <w:rPr>
                <w:rFonts w:eastAsiaTheme="minorEastAsia"/>
                <w:sz w:val="20"/>
                <w:szCs w:val="20"/>
              </w:rPr>
              <w:t>Heart failure, renal disease, and myocardial infarction or cardiovascular disease, statin use, hypertension, and chronic kidney disease. Other confounders were age, sex, race, body mass index, race/ethnicity, smoking, and urban or rural status.</w:t>
            </w:r>
          </w:p>
        </w:tc>
        <w:tc>
          <w:tcPr>
            <w:tcW w:w="746" w:type="pct"/>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Among diabetic individuals, there was a positive association with prior sulfonylurea or insulin use and adverse outcomes such as hospitalization, ICU admissions, and death at 30 days. However, there was no significant association between DDP4 inhibitors and other antidiabetic medications such as GLP-1 receptor agonists/SGLT-2 </w:t>
            </w:r>
            <w:r w:rsidRPr="00DE7C70">
              <w:rPr>
                <w:rFonts w:eastAsiaTheme="minorEastAsia"/>
                <w:sz w:val="20"/>
                <w:szCs w:val="20"/>
              </w:rPr>
              <w:lastRenderedPageBreak/>
              <w:t>inhibitors and the same adverse outcomes.</w:t>
            </w:r>
          </w:p>
        </w:tc>
        <w:tc>
          <w:tcPr>
            <w:tcW w:w="573" w:type="pct"/>
          </w:tcPr>
          <w:p w:rsidR="004B689A" w:rsidRPr="00DE7C70" w:rsidRDefault="004B689A" w:rsidP="00D51785">
            <w:pPr>
              <w:pStyle w:val="Para"/>
              <w:rPr>
                <w:rFonts w:eastAsiaTheme="minorEastAsia"/>
                <w:sz w:val="20"/>
                <w:szCs w:val="20"/>
              </w:rPr>
            </w:pPr>
            <w:r w:rsidRPr="00DE7C70">
              <w:rPr>
                <w:rFonts w:eastAsiaTheme="minorEastAsia"/>
                <w:sz w:val="20"/>
                <w:szCs w:val="20"/>
              </w:rPr>
              <w:lastRenderedPageBreak/>
              <w:t>In summary, there was no effect of DPP4 inhibitors on the hospitalizations, admissions in the ICU, and death at 30 days. Hence there was no effect of DPP4 inhibitors treatment on diabetic patients on either morbidity or mortality.</w:t>
            </w:r>
          </w:p>
        </w:tc>
      </w:tr>
      <w:tr w:rsidR="004B689A" w:rsidRPr="00DE7C70" w:rsidTr="00D51785">
        <w:trPr>
          <w:trHeight w:val="913"/>
        </w:trPr>
        <w:tc>
          <w:tcPr>
            <w:tcW w:w="476" w:type="pct"/>
          </w:tcPr>
          <w:p w:rsidR="004B689A" w:rsidRPr="00DE7C70" w:rsidRDefault="004B689A" w:rsidP="00D51785">
            <w:pPr>
              <w:pStyle w:val="Para"/>
              <w:rPr>
                <w:rFonts w:eastAsiaTheme="minorEastAsia"/>
                <w:sz w:val="20"/>
                <w:szCs w:val="20"/>
              </w:rPr>
            </w:pPr>
            <w:r w:rsidRPr="00DE7C70">
              <w:rPr>
                <w:rFonts w:eastAsiaTheme="minorEastAsia"/>
                <w:sz w:val="20"/>
                <w:szCs w:val="20"/>
              </w:rPr>
              <w:lastRenderedPageBreak/>
              <w:t xml:space="preserve">Solerte et al </w:t>
            </w:r>
            <w:r w:rsidRPr="00DE7C70">
              <w:rPr>
                <w:rFonts w:eastAsiaTheme="minorEastAsia"/>
                <w:noProof/>
                <w:sz w:val="20"/>
                <w:szCs w:val="20"/>
              </w:rPr>
              <w:t>[27]</w:t>
            </w:r>
          </w:p>
        </w:tc>
        <w:tc>
          <w:tcPr>
            <w:tcW w:w="514" w:type="pct"/>
          </w:tcPr>
          <w:p w:rsidR="004B689A" w:rsidRPr="00DE7C70" w:rsidRDefault="004B689A" w:rsidP="00D51785">
            <w:pPr>
              <w:pStyle w:val="Para"/>
              <w:rPr>
                <w:rFonts w:eastAsiaTheme="minorEastAsia"/>
                <w:sz w:val="20"/>
                <w:szCs w:val="20"/>
              </w:rPr>
            </w:pPr>
            <w:r w:rsidRPr="00DE7C70">
              <w:rPr>
                <w:rFonts w:eastAsiaTheme="minorEastAsia"/>
                <w:sz w:val="20"/>
                <w:szCs w:val="20"/>
              </w:rPr>
              <w:t>Case-control retrospective observational study</w:t>
            </w:r>
          </w:p>
        </w:tc>
        <w:tc>
          <w:tcPr>
            <w:tcW w:w="450" w:type="pct"/>
          </w:tcPr>
          <w:p w:rsidR="004B689A" w:rsidRPr="00DE7C70" w:rsidRDefault="004B689A" w:rsidP="00D51785">
            <w:pPr>
              <w:pStyle w:val="Para"/>
              <w:rPr>
                <w:rFonts w:eastAsiaTheme="minorEastAsia"/>
                <w:sz w:val="20"/>
                <w:szCs w:val="20"/>
              </w:rPr>
            </w:pPr>
            <w:r w:rsidRPr="00DE7C70">
              <w:rPr>
                <w:rFonts w:eastAsiaTheme="minorEastAsia"/>
                <w:sz w:val="20"/>
                <w:szCs w:val="20"/>
              </w:rPr>
              <w:t>2020</w:t>
            </w:r>
          </w:p>
        </w:tc>
        <w:tc>
          <w:tcPr>
            <w:tcW w:w="462" w:type="pct"/>
          </w:tcPr>
          <w:p w:rsidR="004B689A" w:rsidRPr="00DE7C70" w:rsidRDefault="004B689A" w:rsidP="00D51785">
            <w:pPr>
              <w:pStyle w:val="Para"/>
              <w:rPr>
                <w:rFonts w:eastAsiaTheme="minorEastAsia"/>
                <w:sz w:val="20"/>
                <w:szCs w:val="20"/>
              </w:rPr>
            </w:pPr>
            <w:r w:rsidRPr="00DE7C70">
              <w:rPr>
                <w:rFonts w:eastAsiaTheme="minorEastAsia"/>
                <w:sz w:val="20"/>
                <w:szCs w:val="20"/>
              </w:rPr>
              <w:t>In patient setting</w:t>
            </w:r>
          </w:p>
        </w:tc>
        <w:tc>
          <w:tcPr>
            <w:tcW w:w="360" w:type="pct"/>
          </w:tcPr>
          <w:p w:rsidR="004B689A" w:rsidRPr="00DE7C70" w:rsidRDefault="004B689A" w:rsidP="00D51785">
            <w:pPr>
              <w:pStyle w:val="Para"/>
              <w:rPr>
                <w:rFonts w:eastAsiaTheme="minorEastAsia"/>
                <w:sz w:val="20"/>
                <w:szCs w:val="20"/>
              </w:rPr>
            </w:pPr>
            <w:r w:rsidRPr="00DE7C70">
              <w:rPr>
                <w:rFonts w:eastAsiaTheme="minorEastAsia"/>
                <w:sz w:val="20"/>
                <w:szCs w:val="20"/>
              </w:rPr>
              <w:t>338</w:t>
            </w:r>
          </w:p>
        </w:tc>
        <w:tc>
          <w:tcPr>
            <w:tcW w:w="491" w:type="pct"/>
          </w:tcPr>
          <w:p w:rsidR="004B689A" w:rsidRPr="00DE7C70" w:rsidRDefault="004B689A" w:rsidP="00D51785">
            <w:pPr>
              <w:pStyle w:val="Para"/>
              <w:rPr>
                <w:rFonts w:eastAsiaTheme="minorEastAsia"/>
                <w:sz w:val="20"/>
                <w:szCs w:val="20"/>
              </w:rPr>
            </w:pPr>
            <w:r w:rsidRPr="00DE7C70">
              <w:rPr>
                <w:rFonts w:eastAsiaTheme="minorEastAsia"/>
                <w:sz w:val="20"/>
                <w:szCs w:val="20"/>
              </w:rPr>
              <w:t>Cox-regression model</w:t>
            </w:r>
          </w:p>
        </w:tc>
        <w:tc>
          <w:tcPr>
            <w:tcW w:w="928" w:type="pct"/>
          </w:tcPr>
          <w:p w:rsidR="004B689A" w:rsidRPr="00DE7C70" w:rsidRDefault="004B689A" w:rsidP="00D51785">
            <w:pPr>
              <w:pStyle w:val="Para"/>
              <w:rPr>
                <w:rFonts w:eastAsiaTheme="minorEastAsia"/>
                <w:sz w:val="20"/>
                <w:szCs w:val="20"/>
              </w:rPr>
            </w:pPr>
            <w:r w:rsidRPr="00DE7C70">
              <w:rPr>
                <w:rFonts w:eastAsiaTheme="minorEastAsia"/>
                <w:sz w:val="20"/>
                <w:szCs w:val="20"/>
              </w:rPr>
              <w:t>Age and sex</w:t>
            </w:r>
          </w:p>
        </w:tc>
        <w:tc>
          <w:tcPr>
            <w:tcW w:w="746" w:type="pct"/>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All-cause mortality was reduced among DDP4 inhibitor users than non-users. More specifically, treatment with highly selective DDP4 inhibitors at the time of hospitalization was related with decreased mortality (P-value: 0.0001), with a significant progress in clinical outcomes (P-value: 0.0001) that revealed reduced </w:t>
            </w:r>
            <w:r w:rsidRPr="00DE7C70">
              <w:rPr>
                <w:rFonts w:eastAsiaTheme="minorEastAsia"/>
                <w:sz w:val="20"/>
                <w:szCs w:val="20"/>
              </w:rPr>
              <w:lastRenderedPageBreak/>
              <w:t>mortality and with more hospital discharges (P-value: 0.0008) compared with patients not receiving DDP4 inhibitors.</w:t>
            </w:r>
          </w:p>
        </w:tc>
        <w:tc>
          <w:tcPr>
            <w:tcW w:w="573" w:type="pct"/>
          </w:tcPr>
          <w:p w:rsidR="004B689A" w:rsidRPr="00DE7C70" w:rsidRDefault="004B689A" w:rsidP="00D51785">
            <w:pPr>
              <w:pStyle w:val="Para"/>
              <w:rPr>
                <w:rFonts w:eastAsiaTheme="minorEastAsia"/>
                <w:sz w:val="20"/>
                <w:szCs w:val="20"/>
              </w:rPr>
            </w:pPr>
            <w:r w:rsidRPr="00DE7C70">
              <w:rPr>
                <w:rFonts w:eastAsiaTheme="minorEastAsia"/>
                <w:sz w:val="20"/>
                <w:szCs w:val="20"/>
              </w:rPr>
              <w:lastRenderedPageBreak/>
              <w:t xml:space="preserve">There was a positive effect of DDP4 inhibitor users on all-cause mortality and there was substantial improvement in other clinical outcomes, which shows a positive effect of DDP4 inhibitors on mortality. </w:t>
            </w:r>
          </w:p>
        </w:tc>
      </w:tr>
      <w:tr w:rsidR="004B689A" w:rsidRPr="00DE7C70" w:rsidTr="00D51785">
        <w:trPr>
          <w:trHeight w:val="1338"/>
        </w:trPr>
        <w:tc>
          <w:tcPr>
            <w:tcW w:w="476" w:type="pct"/>
          </w:tcPr>
          <w:p w:rsidR="004B689A" w:rsidRPr="00DE7C70" w:rsidRDefault="004B689A" w:rsidP="00D51785">
            <w:pPr>
              <w:pStyle w:val="Para"/>
              <w:rPr>
                <w:rFonts w:eastAsiaTheme="minorEastAsia"/>
                <w:sz w:val="20"/>
                <w:szCs w:val="20"/>
              </w:rPr>
            </w:pPr>
            <w:r w:rsidRPr="00DE7C70">
              <w:rPr>
                <w:rStyle w:val="nlm-surname"/>
                <w:rFonts w:eastAsiaTheme="minorEastAsia"/>
                <w:sz w:val="20"/>
                <w:szCs w:val="20"/>
                <w:bdr w:val="none" w:sz="0" w:space="0" w:color="auto" w:frame="1"/>
                <w:shd w:val="clear" w:color="auto" w:fill="FFFFFF"/>
              </w:rPr>
              <w:lastRenderedPageBreak/>
              <w:t xml:space="preserve">Rhee et al </w:t>
            </w:r>
            <w:r w:rsidRPr="00DE7C70">
              <w:rPr>
                <w:rStyle w:val="nlm-surname"/>
                <w:rFonts w:eastAsiaTheme="minorEastAsia"/>
                <w:noProof/>
                <w:sz w:val="20"/>
                <w:szCs w:val="20"/>
                <w:bdr w:val="none" w:sz="0" w:space="0" w:color="auto" w:frame="1"/>
                <w:shd w:val="clear" w:color="auto" w:fill="FFFFFF"/>
              </w:rPr>
              <w:t>[20]</w:t>
            </w:r>
          </w:p>
        </w:tc>
        <w:tc>
          <w:tcPr>
            <w:tcW w:w="514" w:type="pct"/>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Population-based study </w:t>
            </w:r>
          </w:p>
        </w:tc>
        <w:tc>
          <w:tcPr>
            <w:tcW w:w="450" w:type="pct"/>
          </w:tcPr>
          <w:p w:rsidR="004B689A" w:rsidRPr="00DE7C70" w:rsidRDefault="004B689A" w:rsidP="00D51785">
            <w:pPr>
              <w:pStyle w:val="Para"/>
              <w:rPr>
                <w:rFonts w:eastAsiaTheme="minorEastAsia"/>
                <w:sz w:val="20"/>
                <w:szCs w:val="20"/>
              </w:rPr>
            </w:pPr>
            <w:r w:rsidRPr="00DE7C70">
              <w:rPr>
                <w:rFonts w:eastAsiaTheme="minorEastAsia"/>
                <w:sz w:val="20"/>
                <w:szCs w:val="20"/>
              </w:rPr>
              <w:t>2020</w:t>
            </w:r>
          </w:p>
        </w:tc>
        <w:tc>
          <w:tcPr>
            <w:tcW w:w="462" w:type="pct"/>
          </w:tcPr>
          <w:p w:rsidR="004B689A" w:rsidRPr="00DE7C70" w:rsidRDefault="004B689A" w:rsidP="00D51785">
            <w:pPr>
              <w:pStyle w:val="Para"/>
              <w:rPr>
                <w:rFonts w:eastAsiaTheme="minorEastAsia"/>
                <w:sz w:val="20"/>
                <w:szCs w:val="20"/>
              </w:rPr>
            </w:pPr>
            <w:r w:rsidRPr="00DE7C70">
              <w:rPr>
                <w:rFonts w:eastAsiaTheme="minorEastAsia"/>
                <w:sz w:val="20"/>
                <w:szCs w:val="20"/>
              </w:rPr>
              <w:t>In patient setting</w:t>
            </w:r>
          </w:p>
        </w:tc>
        <w:tc>
          <w:tcPr>
            <w:tcW w:w="360" w:type="pct"/>
          </w:tcPr>
          <w:p w:rsidR="004B689A" w:rsidRPr="00DE7C70" w:rsidRDefault="004B689A" w:rsidP="00D51785">
            <w:pPr>
              <w:pStyle w:val="Para"/>
              <w:rPr>
                <w:rFonts w:eastAsiaTheme="minorEastAsia"/>
                <w:sz w:val="20"/>
                <w:szCs w:val="20"/>
              </w:rPr>
            </w:pPr>
            <w:r w:rsidRPr="00DE7C70">
              <w:rPr>
                <w:rFonts w:eastAsiaTheme="minorEastAsia"/>
                <w:sz w:val="20"/>
                <w:szCs w:val="20"/>
              </w:rPr>
              <w:t>67,850 but 832 were analyzed</w:t>
            </w:r>
          </w:p>
        </w:tc>
        <w:tc>
          <w:tcPr>
            <w:tcW w:w="491" w:type="pct"/>
          </w:tcPr>
          <w:p w:rsidR="004B689A" w:rsidRPr="00DE7C70" w:rsidRDefault="004B689A" w:rsidP="00D51785">
            <w:pPr>
              <w:pStyle w:val="Para"/>
              <w:rPr>
                <w:rFonts w:eastAsiaTheme="minorEastAsia"/>
                <w:sz w:val="20"/>
                <w:szCs w:val="20"/>
              </w:rPr>
            </w:pPr>
            <w:r w:rsidRPr="00DE7C70">
              <w:rPr>
                <w:rFonts w:eastAsiaTheme="minorEastAsia"/>
                <w:sz w:val="20"/>
                <w:szCs w:val="20"/>
              </w:rPr>
              <w:t>Chi-square, Fisher exact test, one-way analysis of variance, and logistic regression</w:t>
            </w:r>
          </w:p>
        </w:tc>
        <w:tc>
          <w:tcPr>
            <w:tcW w:w="928" w:type="pct"/>
          </w:tcPr>
          <w:p w:rsidR="004B689A" w:rsidRPr="00DE7C70" w:rsidRDefault="004B689A" w:rsidP="00D51785">
            <w:pPr>
              <w:pStyle w:val="Para"/>
              <w:rPr>
                <w:rFonts w:eastAsiaTheme="minorEastAsia"/>
                <w:sz w:val="20"/>
                <w:szCs w:val="20"/>
              </w:rPr>
            </w:pPr>
            <w:r w:rsidRPr="00DE7C70">
              <w:rPr>
                <w:rFonts w:eastAsiaTheme="minorEastAsia"/>
                <w:sz w:val="20"/>
                <w:szCs w:val="20"/>
              </w:rPr>
              <w:t>Age, sex, comorbidity, and medications</w:t>
            </w:r>
          </w:p>
        </w:tc>
        <w:tc>
          <w:tcPr>
            <w:tcW w:w="746" w:type="pct"/>
          </w:tcPr>
          <w:p w:rsidR="004B689A" w:rsidRPr="00DE7C70" w:rsidRDefault="004B689A" w:rsidP="00D51785">
            <w:pPr>
              <w:pStyle w:val="Para"/>
              <w:rPr>
                <w:rFonts w:eastAsiaTheme="minorEastAsia"/>
                <w:sz w:val="20"/>
                <w:szCs w:val="20"/>
                <w:shd w:val="clear" w:color="auto" w:fill="FFFFFF"/>
              </w:rPr>
            </w:pPr>
            <w:r w:rsidRPr="00DE7C70">
              <w:rPr>
                <w:rFonts w:eastAsiaTheme="minorEastAsia"/>
                <w:sz w:val="20"/>
                <w:szCs w:val="20"/>
              </w:rPr>
              <w:t xml:space="preserve">This study primarily found a lower risk of severe COVID-19 among DDP4 inhibitor users than non-users after adjusting for diverse confounders, thus highlighting the benefit of DDP4 inhibitor users among diabetic and patients with COVID-19. The proportion of those who were admitted to ICU with higher morbidity or mortality </w:t>
            </w:r>
            <w:r w:rsidRPr="00DE7C70">
              <w:rPr>
                <w:rFonts w:eastAsiaTheme="minorEastAsia"/>
                <w:sz w:val="20"/>
                <w:szCs w:val="20"/>
              </w:rPr>
              <w:lastRenderedPageBreak/>
              <w:t xml:space="preserve">was 3.42% among those who were using DDP4 inhibitors as compared to those (4.39%) who were DDP4 inhibitors. </w:t>
            </w:r>
          </w:p>
        </w:tc>
        <w:tc>
          <w:tcPr>
            <w:tcW w:w="573" w:type="pct"/>
          </w:tcPr>
          <w:p w:rsidR="004B689A" w:rsidRPr="00DE7C70" w:rsidRDefault="004B689A" w:rsidP="00D51785">
            <w:pPr>
              <w:pStyle w:val="Para"/>
              <w:rPr>
                <w:rFonts w:eastAsiaTheme="minorEastAsia"/>
                <w:sz w:val="20"/>
                <w:szCs w:val="20"/>
              </w:rPr>
            </w:pPr>
            <w:r w:rsidRPr="00DE7C70">
              <w:rPr>
                <w:rFonts w:eastAsiaTheme="minorEastAsia"/>
                <w:sz w:val="20"/>
                <w:szCs w:val="20"/>
              </w:rPr>
              <w:lastRenderedPageBreak/>
              <w:t>The risk of severe COVID (morbidity) was reduced among DDP4 inhibitor users. There was also reduction in the hospital admissions. Hence, they proved effective in improving morbidity related to COVID-19. However, effect on mortality was not assessed.</w:t>
            </w:r>
          </w:p>
        </w:tc>
      </w:tr>
      <w:tr w:rsidR="004B689A" w:rsidRPr="00DE7C70" w:rsidTr="00D51785">
        <w:trPr>
          <w:trHeight w:val="3074"/>
        </w:trPr>
        <w:tc>
          <w:tcPr>
            <w:tcW w:w="476" w:type="pct"/>
          </w:tcPr>
          <w:p w:rsidR="004B689A" w:rsidRPr="00DE7C70" w:rsidRDefault="004B689A" w:rsidP="00D51785">
            <w:pPr>
              <w:pStyle w:val="Para"/>
              <w:rPr>
                <w:rFonts w:eastAsiaTheme="minorEastAsia"/>
                <w:sz w:val="20"/>
                <w:szCs w:val="20"/>
              </w:rPr>
            </w:pPr>
            <w:r w:rsidRPr="00DE7C70">
              <w:rPr>
                <w:rFonts w:eastAsiaTheme="minorEastAsia"/>
                <w:sz w:val="20"/>
                <w:szCs w:val="20"/>
              </w:rPr>
              <w:lastRenderedPageBreak/>
              <w:t xml:space="preserve">Montastruc et al </w:t>
            </w:r>
            <w:r w:rsidRPr="00DE7C70">
              <w:rPr>
                <w:rFonts w:eastAsiaTheme="minorEastAsia"/>
                <w:noProof/>
                <w:sz w:val="20"/>
                <w:szCs w:val="20"/>
              </w:rPr>
              <w:t>[26]</w:t>
            </w:r>
          </w:p>
        </w:tc>
        <w:tc>
          <w:tcPr>
            <w:tcW w:w="514" w:type="pct"/>
          </w:tcPr>
          <w:p w:rsidR="004B689A" w:rsidRPr="00DE7C70" w:rsidRDefault="004B689A" w:rsidP="00D51785">
            <w:pPr>
              <w:pStyle w:val="Para"/>
              <w:rPr>
                <w:rFonts w:eastAsiaTheme="minorEastAsia"/>
                <w:sz w:val="20"/>
                <w:szCs w:val="20"/>
              </w:rPr>
            </w:pPr>
            <w:r w:rsidRPr="00DE7C70">
              <w:rPr>
                <w:rFonts w:eastAsiaTheme="minorEastAsia"/>
                <w:sz w:val="20"/>
                <w:szCs w:val="20"/>
              </w:rPr>
              <w:t>Case series</w:t>
            </w:r>
          </w:p>
        </w:tc>
        <w:tc>
          <w:tcPr>
            <w:tcW w:w="450" w:type="pct"/>
          </w:tcPr>
          <w:p w:rsidR="004B689A" w:rsidRPr="00DE7C70" w:rsidRDefault="004B689A" w:rsidP="00D51785">
            <w:pPr>
              <w:pStyle w:val="Para"/>
              <w:rPr>
                <w:rFonts w:eastAsiaTheme="minorEastAsia"/>
                <w:sz w:val="20"/>
                <w:szCs w:val="20"/>
              </w:rPr>
            </w:pPr>
            <w:r w:rsidRPr="00DE7C70">
              <w:rPr>
                <w:rFonts w:eastAsiaTheme="minorEastAsia"/>
                <w:sz w:val="20"/>
                <w:szCs w:val="20"/>
              </w:rPr>
              <w:t>2020</w:t>
            </w:r>
          </w:p>
        </w:tc>
        <w:tc>
          <w:tcPr>
            <w:tcW w:w="462" w:type="pct"/>
          </w:tcPr>
          <w:p w:rsidR="004B689A" w:rsidRPr="00DE7C70" w:rsidRDefault="004B689A" w:rsidP="00D51785">
            <w:pPr>
              <w:pStyle w:val="Para"/>
              <w:rPr>
                <w:rFonts w:eastAsiaTheme="minorEastAsia"/>
                <w:sz w:val="20"/>
                <w:szCs w:val="20"/>
              </w:rPr>
            </w:pPr>
            <w:r w:rsidRPr="00DE7C70">
              <w:rPr>
                <w:rFonts w:eastAsiaTheme="minorEastAsia"/>
                <w:sz w:val="20"/>
                <w:szCs w:val="20"/>
              </w:rPr>
              <w:t>In patient setting</w:t>
            </w:r>
          </w:p>
        </w:tc>
        <w:tc>
          <w:tcPr>
            <w:tcW w:w="360" w:type="pct"/>
          </w:tcPr>
          <w:p w:rsidR="004B689A" w:rsidRPr="00DE7C70" w:rsidRDefault="004B689A" w:rsidP="00D51785">
            <w:pPr>
              <w:pStyle w:val="Para"/>
              <w:rPr>
                <w:rFonts w:eastAsiaTheme="minorEastAsia"/>
                <w:sz w:val="20"/>
                <w:szCs w:val="20"/>
              </w:rPr>
            </w:pPr>
            <w:r w:rsidRPr="00DE7C70">
              <w:rPr>
                <w:rFonts w:eastAsiaTheme="minorEastAsia"/>
                <w:sz w:val="20"/>
                <w:szCs w:val="20"/>
              </w:rPr>
              <w:t>96</w:t>
            </w:r>
          </w:p>
        </w:tc>
        <w:tc>
          <w:tcPr>
            <w:tcW w:w="491" w:type="pct"/>
          </w:tcPr>
          <w:p w:rsidR="004B689A" w:rsidRPr="00DE7C70" w:rsidRDefault="004B689A" w:rsidP="00D51785">
            <w:pPr>
              <w:pStyle w:val="Para"/>
              <w:rPr>
                <w:rFonts w:eastAsiaTheme="minorEastAsia"/>
                <w:sz w:val="20"/>
                <w:szCs w:val="20"/>
              </w:rPr>
            </w:pPr>
            <w:r w:rsidRPr="00DE7C70">
              <w:rPr>
                <w:rFonts w:eastAsiaTheme="minorEastAsia"/>
                <w:sz w:val="20"/>
                <w:szCs w:val="20"/>
                <w:shd w:val="clear" w:color="auto" w:fill="FFFFFF"/>
              </w:rPr>
              <w:t>No regression analysis was performed due to small sample size.</w:t>
            </w:r>
          </w:p>
        </w:tc>
        <w:tc>
          <w:tcPr>
            <w:tcW w:w="928" w:type="pct"/>
          </w:tcPr>
          <w:p w:rsidR="004B689A" w:rsidRPr="00DE7C70" w:rsidRDefault="004B689A" w:rsidP="00D51785">
            <w:pPr>
              <w:pStyle w:val="Para"/>
              <w:rPr>
                <w:rFonts w:eastAsiaTheme="minorEastAsia"/>
                <w:sz w:val="20"/>
                <w:szCs w:val="20"/>
              </w:rPr>
            </w:pPr>
            <w:r w:rsidRPr="00DE7C70">
              <w:rPr>
                <w:rFonts w:eastAsiaTheme="minorEastAsia"/>
                <w:sz w:val="20"/>
                <w:szCs w:val="20"/>
              </w:rPr>
              <w:t>Age, gender, and comorbidity</w:t>
            </w:r>
          </w:p>
        </w:tc>
        <w:tc>
          <w:tcPr>
            <w:tcW w:w="746" w:type="pct"/>
          </w:tcPr>
          <w:p w:rsidR="004B689A" w:rsidRPr="00DE7C70" w:rsidRDefault="004B689A" w:rsidP="00D51785">
            <w:pPr>
              <w:pStyle w:val="Para"/>
              <w:rPr>
                <w:rFonts w:eastAsiaTheme="minorEastAsia"/>
                <w:sz w:val="20"/>
                <w:szCs w:val="20"/>
              </w:rPr>
            </w:pPr>
            <w:bookmarkStart w:id="1" w:name="_Hlk71835824"/>
            <w:r w:rsidRPr="00DE7C70">
              <w:rPr>
                <w:sz w:val="20"/>
                <w:szCs w:val="20"/>
                <w:shd w:val="clear" w:color="auto" w:fill="FFFFFF"/>
              </w:rPr>
              <w:t xml:space="preserve">The </w:t>
            </w:r>
            <w:r w:rsidRPr="00DE7C70">
              <w:rPr>
                <w:rFonts w:eastAsiaTheme="minorEastAsia"/>
                <w:sz w:val="20"/>
                <w:szCs w:val="20"/>
              </w:rPr>
              <w:t xml:space="preserve">study findings revealed that patients admitted to ICU were overweight or obese men suffering from arterial hypertension and treated by antidiabetic drugs and medicines for heart </w:t>
            </w:r>
            <w:bookmarkEnd w:id="1"/>
            <w:r w:rsidRPr="00DE7C70">
              <w:rPr>
                <w:sz w:val="20"/>
                <w:szCs w:val="20"/>
              </w:rPr>
              <w:t>disease.</w:t>
            </w:r>
            <w:r w:rsidRPr="00DE7C70">
              <w:rPr>
                <w:rFonts w:eastAsiaTheme="minorEastAsia"/>
                <w:sz w:val="20"/>
                <w:szCs w:val="20"/>
                <w:shd w:val="clear" w:color="auto" w:fill="FFFFFF"/>
              </w:rPr>
              <w:t xml:space="preserve"> Further, </w:t>
            </w:r>
            <w:r w:rsidRPr="00DE7C70">
              <w:rPr>
                <w:rFonts w:eastAsiaTheme="minorEastAsia"/>
                <w:sz w:val="20"/>
                <w:szCs w:val="20"/>
              </w:rPr>
              <w:t>a lower rate of intubation was found in DPP4 inhibitor users when compared to the non-users.</w:t>
            </w:r>
          </w:p>
        </w:tc>
        <w:tc>
          <w:tcPr>
            <w:tcW w:w="573" w:type="pct"/>
          </w:tcPr>
          <w:p w:rsidR="004B689A" w:rsidRPr="00DE7C70" w:rsidRDefault="004B689A" w:rsidP="00D51785">
            <w:pPr>
              <w:pStyle w:val="Para"/>
              <w:rPr>
                <w:rFonts w:eastAsiaTheme="minorEastAsia"/>
                <w:sz w:val="20"/>
                <w:szCs w:val="20"/>
                <w:shd w:val="clear" w:color="auto" w:fill="FFFFFF"/>
              </w:rPr>
            </w:pPr>
            <w:r w:rsidRPr="00DE7C70">
              <w:rPr>
                <w:rFonts w:eastAsiaTheme="minorEastAsia"/>
                <w:sz w:val="20"/>
                <w:szCs w:val="20"/>
              </w:rPr>
              <w:t xml:space="preserve">DPP4 inhibitors were found effective in lowering the morbidity; however, their effect on mortality was not assessed. </w:t>
            </w:r>
          </w:p>
        </w:tc>
      </w:tr>
      <w:tr w:rsidR="004B689A" w:rsidRPr="00DE7C70" w:rsidTr="00D51785">
        <w:trPr>
          <w:trHeight w:val="6185"/>
        </w:trPr>
        <w:tc>
          <w:tcPr>
            <w:tcW w:w="476" w:type="pct"/>
          </w:tcPr>
          <w:p w:rsidR="004B689A" w:rsidRPr="00DE7C70" w:rsidRDefault="004B689A" w:rsidP="00D51785">
            <w:pPr>
              <w:pStyle w:val="Para"/>
              <w:rPr>
                <w:rFonts w:eastAsiaTheme="minorEastAsia"/>
                <w:sz w:val="20"/>
                <w:szCs w:val="20"/>
              </w:rPr>
            </w:pPr>
            <w:r w:rsidRPr="00DE7C70">
              <w:rPr>
                <w:rFonts w:eastAsiaTheme="minorEastAsia"/>
                <w:sz w:val="20"/>
                <w:szCs w:val="20"/>
              </w:rPr>
              <w:lastRenderedPageBreak/>
              <w:t xml:space="preserve">Dalan et al </w:t>
            </w:r>
            <w:r w:rsidRPr="00DE7C70">
              <w:rPr>
                <w:rFonts w:eastAsiaTheme="minorEastAsia"/>
                <w:noProof/>
                <w:sz w:val="20"/>
                <w:szCs w:val="20"/>
              </w:rPr>
              <w:t>[25]</w:t>
            </w:r>
          </w:p>
        </w:tc>
        <w:tc>
          <w:tcPr>
            <w:tcW w:w="514" w:type="pct"/>
          </w:tcPr>
          <w:p w:rsidR="004B689A" w:rsidRPr="00DE7C70" w:rsidRDefault="004B689A" w:rsidP="00D51785">
            <w:pPr>
              <w:pStyle w:val="Para"/>
              <w:rPr>
                <w:rFonts w:eastAsiaTheme="minorEastAsia"/>
                <w:sz w:val="20"/>
                <w:szCs w:val="20"/>
              </w:rPr>
            </w:pPr>
            <w:r w:rsidRPr="00DE7C70">
              <w:rPr>
                <w:rFonts w:eastAsiaTheme="minorEastAsia"/>
                <w:sz w:val="20"/>
                <w:szCs w:val="20"/>
              </w:rPr>
              <w:t>Retrospective, observational cohort study</w:t>
            </w:r>
          </w:p>
        </w:tc>
        <w:tc>
          <w:tcPr>
            <w:tcW w:w="450" w:type="pct"/>
          </w:tcPr>
          <w:p w:rsidR="004B689A" w:rsidRPr="00DE7C70" w:rsidRDefault="004B689A" w:rsidP="00D51785">
            <w:pPr>
              <w:pStyle w:val="Para"/>
              <w:rPr>
                <w:rFonts w:eastAsiaTheme="minorEastAsia"/>
                <w:sz w:val="20"/>
                <w:szCs w:val="20"/>
              </w:rPr>
            </w:pPr>
            <w:r w:rsidRPr="00DE7C70">
              <w:rPr>
                <w:rFonts w:eastAsiaTheme="minorEastAsia"/>
                <w:sz w:val="20"/>
                <w:szCs w:val="20"/>
              </w:rPr>
              <w:t>2020</w:t>
            </w:r>
          </w:p>
        </w:tc>
        <w:tc>
          <w:tcPr>
            <w:tcW w:w="462" w:type="pct"/>
          </w:tcPr>
          <w:p w:rsidR="004B689A" w:rsidRPr="00DE7C70" w:rsidRDefault="004B689A" w:rsidP="00D51785">
            <w:pPr>
              <w:pStyle w:val="Para"/>
              <w:rPr>
                <w:rFonts w:eastAsiaTheme="minorEastAsia"/>
                <w:sz w:val="20"/>
                <w:szCs w:val="20"/>
              </w:rPr>
            </w:pPr>
            <w:r w:rsidRPr="00DE7C70">
              <w:rPr>
                <w:rFonts w:eastAsiaTheme="minorEastAsia"/>
                <w:sz w:val="20"/>
                <w:szCs w:val="20"/>
              </w:rPr>
              <w:t>In patients admitted to the hospital</w:t>
            </w:r>
          </w:p>
        </w:tc>
        <w:tc>
          <w:tcPr>
            <w:tcW w:w="360" w:type="pct"/>
          </w:tcPr>
          <w:p w:rsidR="004B689A" w:rsidRPr="00DE7C70" w:rsidRDefault="004B689A" w:rsidP="00D51785">
            <w:pPr>
              <w:pStyle w:val="Para"/>
              <w:rPr>
                <w:rFonts w:eastAsiaTheme="minorEastAsia"/>
                <w:sz w:val="20"/>
                <w:szCs w:val="20"/>
              </w:rPr>
            </w:pPr>
            <w:r w:rsidRPr="00DE7C70">
              <w:rPr>
                <w:rFonts w:eastAsiaTheme="minorEastAsia"/>
                <w:sz w:val="20"/>
                <w:szCs w:val="20"/>
              </w:rPr>
              <w:t>717</w:t>
            </w:r>
          </w:p>
        </w:tc>
        <w:tc>
          <w:tcPr>
            <w:tcW w:w="491" w:type="pct"/>
          </w:tcPr>
          <w:p w:rsidR="004B689A" w:rsidRPr="00DE7C70" w:rsidRDefault="004B689A" w:rsidP="00D51785">
            <w:pPr>
              <w:pStyle w:val="Para"/>
              <w:rPr>
                <w:rFonts w:eastAsiaTheme="minorEastAsia"/>
                <w:sz w:val="20"/>
                <w:szCs w:val="20"/>
              </w:rPr>
            </w:pPr>
            <w:r w:rsidRPr="00DE7C70">
              <w:rPr>
                <w:rFonts w:eastAsiaTheme="minorEastAsia"/>
                <w:sz w:val="20"/>
                <w:szCs w:val="20"/>
              </w:rPr>
              <w:t>Poisson regression and multiple linear regression models</w:t>
            </w:r>
          </w:p>
        </w:tc>
        <w:tc>
          <w:tcPr>
            <w:tcW w:w="928" w:type="pct"/>
          </w:tcPr>
          <w:p w:rsidR="004B689A" w:rsidRPr="00DE7C70" w:rsidRDefault="004B689A" w:rsidP="00D51785">
            <w:pPr>
              <w:pStyle w:val="Para"/>
              <w:rPr>
                <w:rFonts w:eastAsiaTheme="minorEastAsia"/>
                <w:sz w:val="20"/>
                <w:szCs w:val="20"/>
              </w:rPr>
            </w:pPr>
            <w:r w:rsidRPr="00DE7C70">
              <w:rPr>
                <w:rFonts w:eastAsiaTheme="minorEastAsia"/>
                <w:sz w:val="20"/>
                <w:szCs w:val="20"/>
              </w:rPr>
              <w:t>Age, gender, ethnicity, anti-hypertensive drugs, diabetes drugs, body mass index, and statins</w:t>
            </w:r>
          </w:p>
        </w:tc>
        <w:tc>
          <w:tcPr>
            <w:tcW w:w="746" w:type="pct"/>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Results revealed a four times higher risk of being admitted in the ICU among the users of DDP4 inhibitors than those who did not use DDP4 inhibitors. They also found a higher association between DDP4 inhibitors and the risk of admission in ICU. Further, the findings revealed a significant association between comorbidity such as diabetes and hypertension with hypoxia and admission to ICU (P &lt; 0.05) indicating the morbidity. Among diabetics, those who were </w:t>
            </w:r>
            <w:r w:rsidRPr="00DE7C70">
              <w:rPr>
                <w:rFonts w:eastAsiaTheme="minorEastAsia"/>
                <w:sz w:val="20"/>
                <w:szCs w:val="20"/>
              </w:rPr>
              <w:lastRenderedPageBreak/>
              <w:t>receiving DDP4 inhibitors were at higher risk of being admitted into the hospital than those who were not with statistically significant results (P &lt; 0.05).</w:t>
            </w:r>
          </w:p>
        </w:tc>
        <w:tc>
          <w:tcPr>
            <w:tcW w:w="573" w:type="pct"/>
          </w:tcPr>
          <w:p w:rsidR="004B689A" w:rsidRPr="00DE7C70" w:rsidRDefault="004B689A" w:rsidP="00D51785">
            <w:pPr>
              <w:pStyle w:val="Para"/>
              <w:rPr>
                <w:rFonts w:eastAsiaTheme="minorEastAsia"/>
                <w:sz w:val="20"/>
                <w:szCs w:val="20"/>
              </w:rPr>
            </w:pPr>
            <w:r w:rsidRPr="00DE7C70">
              <w:rPr>
                <w:rFonts w:eastAsiaTheme="minorEastAsia"/>
                <w:sz w:val="20"/>
                <w:szCs w:val="20"/>
              </w:rPr>
              <w:lastRenderedPageBreak/>
              <w:t xml:space="preserve">DDP4 inhibitors users were more likely to be admitted in the hospitals and in ICUs. Hence there was a negative effect of DDP4 inhibitors users on the morbidity. </w:t>
            </w:r>
          </w:p>
        </w:tc>
      </w:tr>
      <w:tr w:rsidR="004B689A" w:rsidRPr="00DE7C70" w:rsidTr="00D51785">
        <w:trPr>
          <w:trHeight w:val="1248"/>
        </w:trPr>
        <w:tc>
          <w:tcPr>
            <w:tcW w:w="476" w:type="pct"/>
          </w:tcPr>
          <w:p w:rsidR="004B689A" w:rsidRPr="00DE7C70" w:rsidRDefault="004B689A" w:rsidP="00D51785">
            <w:pPr>
              <w:pStyle w:val="Para"/>
              <w:rPr>
                <w:rStyle w:val="nlm-given-names"/>
                <w:rFonts w:eastAsiaTheme="minorEastAsia"/>
                <w:sz w:val="20"/>
                <w:szCs w:val="20"/>
                <w:bdr w:val="none" w:sz="0" w:space="0" w:color="auto" w:frame="1"/>
                <w:shd w:val="clear" w:color="auto" w:fill="FFFFFF"/>
              </w:rPr>
            </w:pPr>
            <w:r w:rsidRPr="00DE7C70">
              <w:rPr>
                <w:rStyle w:val="nlm-given-names"/>
                <w:rFonts w:eastAsiaTheme="minorEastAsia"/>
                <w:sz w:val="20"/>
                <w:szCs w:val="20"/>
              </w:rPr>
              <w:lastRenderedPageBreak/>
              <w:t xml:space="preserve">Fadini et al </w:t>
            </w:r>
            <w:r w:rsidRPr="00DE7C70">
              <w:rPr>
                <w:rStyle w:val="nlm-given-names"/>
                <w:rFonts w:eastAsiaTheme="minorEastAsia"/>
                <w:noProof/>
                <w:sz w:val="20"/>
                <w:szCs w:val="20"/>
              </w:rPr>
              <w:t>[24]</w:t>
            </w:r>
          </w:p>
        </w:tc>
        <w:tc>
          <w:tcPr>
            <w:tcW w:w="514" w:type="pct"/>
          </w:tcPr>
          <w:p w:rsidR="004B689A" w:rsidRPr="00DE7C70" w:rsidRDefault="004B689A" w:rsidP="00D51785">
            <w:pPr>
              <w:pStyle w:val="Para"/>
              <w:rPr>
                <w:rStyle w:val="nlm-given-names"/>
                <w:rFonts w:eastAsiaTheme="minorEastAsia"/>
                <w:sz w:val="20"/>
                <w:szCs w:val="20"/>
                <w:bdr w:val="none" w:sz="0" w:space="0" w:color="auto" w:frame="1"/>
                <w:shd w:val="clear" w:color="auto" w:fill="FFFFFF"/>
              </w:rPr>
            </w:pPr>
            <w:r w:rsidRPr="00DE7C70">
              <w:rPr>
                <w:rStyle w:val="nlm-given-names"/>
                <w:rFonts w:eastAsiaTheme="minorEastAsia"/>
                <w:sz w:val="20"/>
                <w:szCs w:val="20"/>
                <w:bdr w:val="none" w:sz="0" w:space="0" w:color="auto" w:frame="1"/>
                <w:shd w:val="clear" w:color="auto" w:fill="FFFFFF"/>
              </w:rPr>
              <w:t>Case-control study</w:t>
            </w:r>
          </w:p>
        </w:tc>
        <w:tc>
          <w:tcPr>
            <w:tcW w:w="450" w:type="pct"/>
          </w:tcPr>
          <w:p w:rsidR="004B689A" w:rsidRPr="00DE7C70" w:rsidRDefault="004B689A" w:rsidP="00D51785">
            <w:pPr>
              <w:pStyle w:val="Para"/>
              <w:rPr>
                <w:rStyle w:val="nlm-given-names"/>
                <w:rFonts w:eastAsiaTheme="minorEastAsia"/>
                <w:sz w:val="20"/>
                <w:szCs w:val="20"/>
                <w:bdr w:val="none" w:sz="0" w:space="0" w:color="auto" w:frame="1"/>
                <w:shd w:val="clear" w:color="auto" w:fill="FFFFFF"/>
              </w:rPr>
            </w:pPr>
            <w:r w:rsidRPr="00DE7C70">
              <w:rPr>
                <w:rStyle w:val="nlm-given-names"/>
                <w:rFonts w:eastAsiaTheme="minorEastAsia"/>
                <w:sz w:val="20"/>
                <w:szCs w:val="20"/>
                <w:bdr w:val="none" w:sz="0" w:space="0" w:color="auto" w:frame="1"/>
                <w:shd w:val="clear" w:color="auto" w:fill="FFFFFF"/>
              </w:rPr>
              <w:t>2020</w:t>
            </w:r>
          </w:p>
        </w:tc>
        <w:tc>
          <w:tcPr>
            <w:tcW w:w="462" w:type="pct"/>
          </w:tcPr>
          <w:p w:rsidR="004B689A" w:rsidRPr="00DE7C70" w:rsidRDefault="004B689A" w:rsidP="00D51785">
            <w:pPr>
              <w:pStyle w:val="Para"/>
              <w:rPr>
                <w:rStyle w:val="nlm-given-names"/>
                <w:rFonts w:eastAsiaTheme="minorEastAsia"/>
                <w:sz w:val="20"/>
                <w:szCs w:val="20"/>
                <w:bdr w:val="none" w:sz="0" w:space="0" w:color="auto" w:frame="1"/>
                <w:shd w:val="clear" w:color="auto" w:fill="FFFFFF"/>
              </w:rPr>
            </w:pPr>
            <w:r w:rsidRPr="00DE7C70">
              <w:rPr>
                <w:rStyle w:val="nlm-given-names"/>
                <w:rFonts w:eastAsiaTheme="minorEastAsia"/>
                <w:sz w:val="20"/>
                <w:szCs w:val="20"/>
                <w:bdr w:val="none" w:sz="0" w:space="0" w:color="auto" w:frame="1"/>
                <w:shd w:val="clear" w:color="auto" w:fill="FFFFFF"/>
              </w:rPr>
              <w:t>Hospitalized patients</w:t>
            </w:r>
          </w:p>
        </w:tc>
        <w:tc>
          <w:tcPr>
            <w:tcW w:w="360" w:type="pct"/>
          </w:tcPr>
          <w:p w:rsidR="004B689A" w:rsidRPr="00DE7C70" w:rsidRDefault="004B689A" w:rsidP="00D51785">
            <w:pPr>
              <w:pStyle w:val="Para"/>
              <w:rPr>
                <w:rFonts w:eastAsiaTheme="minorEastAsia"/>
                <w:sz w:val="20"/>
                <w:szCs w:val="20"/>
              </w:rPr>
            </w:pPr>
            <w:r w:rsidRPr="00DE7C70">
              <w:rPr>
                <w:rFonts w:eastAsiaTheme="minorEastAsia"/>
                <w:sz w:val="20"/>
                <w:szCs w:val="20"/>
              </w:rPr>
              <w:t>85</w:t>
            </w:r>
          </w:p>
        </w:tc>
        <w:tc>
          <w:tcPr>
            <w:tcW w:w="491" w:type="pct"/>
          </w:tcPr>
          <w:p w:rsidR="004B689A" w:rsidRPr="00DE7C70" w:rsidRDefault="004B689A" w:rsidP="00D51785">
            <w:pPr>
              <w:pStyle w:val="Para"/>
              <w:rPr>
                <w:rFonts w:eastAsiaTheme="minorEastAsia"/>
                <w:sz w:val="20"/>
                <w:szCs w:val="20"/>
              </w:rPr>
            </w:pPr>
            <w:r w:rsidRPr="00DE7C70">
              <w:rPr>
                <w:rFonts w:eastAsiaTheme="minorEastAsia"/>
                <w:sz w:val="20"/>
                <w:szCs w:val="20"/>
              </w:rPr>
              <w:t>Logistic regression analysis</w:t>
            </w:r>
          </w:p>
        </w:tc>
        <w:tc>
          <w:tcPr>
            <w:tcW w:w="928" w:type="pct"/>
          </w:tcPr>
          <w:p w:rsidR="004B689A" w:rsidRPr="00DE7C70" w:rsidRDefault="004B689A" w:rsidP="00D51785">
            <w:pPr>
              <w:pStyle w:val="Para"/>
              <w:rPr>
                <w:rFonts w:eastAsiaTheme="minorEastAsia"/>
                <w:sz w:val="20"/>
                <w:szCs w:val="20"/>
              </w:rPr>
            </w:pPr>
            <w:r w:rsidRPr="00DE7C70">
              <w:rPr>
                <w:rFonts w:eastAsiaTheme="minorEastAsia"/>
                <w:sz w:val="20"/>
                <w:szCs w:val="20"/>
              </w:rPr>
              <w:t>Age, sex, smoking, dyspnea, hypertension, dyslipidemia, cardiovascular disease, cancer, and COPD</w:t>
            </w:r>
          </w:p>
        </w:tc>
        <w:tc>
          <w:tcPr>
            <w:tcW w:w="746" w:type="pct"/>
          </w:tcPr>
          <w:p w:rsidR="004B689A" w:rsidRPr="00DE7C70" w:rsidRDefault="004B689A" w:rsidP="00D51785">
            <w:pPr>
              <w:pStyle w:val="Para"/>
              <w:rPr>
                <w:rFonts w:eastAsiaTheme="minorEastAsia"/>
                <w:sz w:val="20"/>
                <w:szCs w:val="20"/>
              </w:rPr>
            </w:pPr>
            <w:r w:rsidRPr="00DE7C70">
              <w:rPr>
                <w:rFonts w:eastAsiaTheme="minorEastAsia"/>
                <w:sz w:val="20"/>
                <w:szCs w:val="20"/>
              </w:rPr>
              <w:t>The study findings did not support the hypothesis about the prevention of DPP4 inhibitors against COVID-19.</w:t>
            </w:r>
          </w:p>
        </w:tc>
        <w:tc>
          <w:tcPr>
            <w:tcW w:w="573" w:type="pct"/>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There was no preventive effect of DDP4 inhibitors on the COVID-19. </w:t>
            </w:r>
          </w:p>
        </w:tc>
      </w:tr>
      <w:tr w:rsidR="004B689A" w:rsidRPr="00DE7C70" w:rsidTr="00D51785">
        <w:trPr>
          <w:trHeight w:val="488"/>
        </w:trPr>
        <w:tc>
          <w:tcPr>
            <w:tcW w:w="476" w:type="pct"/>
          </w:tcPr>
          <w:p w:rsidR="004B689A" w:rsidRPr="00DE7C70" w:rsidRDefault="004B689A" w:rsidP="00D51785">
            <w:pPr>
              <w:pStyle w:val="Para"/>
              <w:rPr>
                <w:rStyle w:val="nlm-given-names"/>
                <w:rFonts w:eastAsiaTheme="minorEastAsia"/>
                <w:sz w:val="20"/>
                <w:szCs w:val="20"/>
                <w:bdr w:val="none" w:sz="0" w:space="0" w:color="auto" w:frame="1"/>
                <w:shd w:val="clear" w:color="auto" w:fill="FFFFFF"/>
              </w:rPr>
            </w:pPr>
            <w:r w:rsidRPr="00DE7C70">
              <w:rPr>
                <w:rStyle w:val="nlm-given-names"/>
                <w:rFonts w:eastAsiaTheme="minorEastAsia"/>
                <w:sz w:val="20"/>
                <w:szCs w:val="20"/>
                <w:bdr w:val="none" w:sz="0" w:space="0" w:color="auto" w:frame="1"/>
                <w:shd w:val="clear" w:color="auto" w:fill="FFFFFF"/>
              </w:rPr>
              <w:t xml:space="preserve">Wargny et al </w:t>
            </w:r>
            <w:r w:rsidRPr="00DE7C70">
              <w:rPr>
                <w:rStyle w:val="nlm-given-names"/>
                <w:rFonts w:eastAsiaTheme="minorEastAsia"/>
                <w:noProof/>
                <w:sz w:val="20"/>
                <w:szCs w:val="20"/>
                <w:bdr w:val="none" w:sz="0" w:space="0" w:color="auto" w:frame="1"/>
                <w:shd w:val="clear" w:color="auto" w:fill="FFFFFF"/>
              </w:rPr>
              <w:t>[23]</w:t>
            </w:r>
          </w:p>
        </w:tc>
        <w:tc>
          <w:tcPr>
            <w:tcW w:w="514" w:type="pct"/>
          </w:tcPr>
          <w:p w:rsidR="004B689A" w:rsidRPr="00DE7C70" w:rsidRDefault="004B689A" w:rsidP="00D51785">
            <w:pPr>
              <w:pStyle w:val="Para"/>
              <w:rPr>
                <w:rStyle w:val="nlm-given-names"/>
                <w:rFonts w:eastAsiaTheme="minorEastAsia"/>
                <w:sz w:val="20"/>
                <w:szCs w:val="20"/>
                <w:bdr w:val="none" w:sz="0" w:space="0" w:color="auto" w:frame="1"/>
                <w:shd w:val="clear" w:color="auto" w:fill="FFFFFF"/>
              </w:rPr>
            </w:pPr>
            <w:r w:rsidRPr="00DE7C70">
              <w:rPr>
                <w:rStyle w:val="nlm-given-names"/>
                <w:rFonts w:eastAsiaTheme="minorEastAsia"/>
                <w:sz w:val="20"/>
                <w:szCs w:val="20"/>
                <w:bdr w:val="none" w:sz="0" w:space="0" w:color="auto" w:frame="1"/>
                <w:shd w:val="clear" w:color="auto" w:fill="FFFFFF"/>
              </w:rPr>
              <w:t>Multicenter observational study</w:t>
            </w:r>
          </w:p>
        </w:tc>
        <w:tc>
          <w:tcPr>
            <w:tcW w:w="450" w:type="pct"/>
          </w:tcPr>
          <w:p w:rsidR="004B689A" w:rsidRPr="00DE7C70" w:rsidRDefault="004B689A" w:rsidP="00D51785">
            <w:pPr>
              <w:pStyle w:val="Para"/>
              <w:rPr>
                <w:rStyle w:val="nlm-given-names"/>
                <w:rFonts w:eastAsiaTheme="minorEastAsia"/>
                <w:sz w:val="20"/>
                <w:szCs w:val="20"/>
                <w:bdr w:val="none" w:sz="0" w:space="0" w:color="auto" w:frame="1"/>
                <w:shd w:val="clear" w:color="auto" w:fill="FFFFFF"/>
              </w:rPr>
            </w:pPr>
            <w:r w:rsidRPr="00DE7C70">
              <w:rPr>
                <w:rStyle w:val="nlm-given-names"/>
                <w:rFonts w:eastAsiaTheme="minorEastAsia"/>
                <w:sz w:val="20"/>
                <w:szCs w:val="20"/>
                <w:bdr w:val="none" w:sz="0" w:space="0" w:color="auto" w:frame="1"/>
                <w:shd w:val="clear" w:color="auto" w:fill="FFFFFF"/>
              </w:rPr>
              <w:t>2020</w:t>
            </w:r>
          </w:p>
        </w:tc>
        <w:tc>
          <w:tcPr>
            <w:tcW w:w="462" w:type="pct"/>
          </w:tcPr>
          <w:p w:rsidR="004B689A" w:rsidRPr="00DE7C70" w:rsidRDefault="004B689A" w:rsidP="00D51785">
            <w:pPr>
              <w:pStyle w:val="Para"/>
              <w:rPr>
                <w:rStyle w:val="nlm-given-names"/>
                <w:rFonts w:eastAsiaTheme="minorEastAsia"/>
                <w:sz w:val="20"/>
                <w:szCs w:val="20"/>
                <w:bdr w:val="none" w:sz="0" w:space="0" w:color="auto" w:frame="1"/>
                <w:shd w:val="clear" w:color="auto" w:fill="FFFFFF"/>
              </w:rPr>
            </w:pPr>
            <w:r w:rsidRPr="00DE7C70">
              <w:rPr>
                <w:rStyle w:val="nlm-given-names"/>
                <w:rFonts w:eastAsiaTheme="minorEastAsia"/>
                <w:sz w:val="20"/>
                <w:szCs w:val="20"/>
                <w:bdr w:val="none" w:sz="0" w:space="0" w:color="auto" w:frame="1"/>
                <w:shd w:val="clear" w:color="auto" w:fill="FFFFFF"/>
              </w:rPr>
              <w:t xml:space="preserve">In patients admitted to the hospital </w:t>
            </w:r>
          </w:p>
        </w:tc>
        <w:tc>
          <w:tcPr>
            <w:tcW w:w="360" w:type="pct"/>
          </w:tcPr>
          <w:p w:rsidR="004B689A" w:rsidRPr="00DE7C70" w:rsidRDefault="004B689A" w:rsidP="00D51785">
            <w:pPr>
              <w:pStyle w:val="Para"/>
              <w:rPr>
                <w:rStyle w:val="nlm-given-names"/>
                <w:rFonts w:eastAsiaTheme="minorEastAsia"/>
                <w:sz w:val="20"/>
                <w:szCs w:val="20"/>
                <w:bdr w:val="none" w:sz="0" w:space="0" w:color="auto" w:frame="1"/>
                <w:shd w:val="clear" w:color="auto" w:fill="FFFFFF"/>
              </w:rPr>
            </w:pPr>
            <w:r w:rsidRPr="00DE7C70">
              <w:rPr>
                <w:rFonts w:eastAsiaTheme="minorEastAsia"/>
                <w:sz w:val="20"/>
                <w:szCs w:val="20"/>
              </w:rPr>
              <w:t>2,796</w:t>
            </w:r>
          </w:p>
        </w:tc>
        <w:tc>
          <w:tcPr>
            <w:tcW w:w="491" w:type="pct"/>
          </w:tcPr>
          <w:p w:rsidR="004B689A" w:rsidRPr="00DE7C70" w:rsidRDefault="004B689A" w:rsidP="00D51785">
            <w:pPr>
              <w:pStyle w:val="Para"/>
              <w:rPr>
                <w:rFonts w:eastAsiaTheme="minorEastAsia"/>
                <w:sz w:val="20"/>
                <w:szCs w:val="20"/>
              </w:rPr>
            </w:pPr>
            <w:r w:rsidRPr="00DE7C70">
              <w:rPr>
                <w:rFonts w:eastAsiaTheme="minorEastAsia"/>
                <w:sz w:val="20"/>
                <w:szCs w:val="20"/>
              </w:rPr>
              <w:t>Multivariable logistic regression analysis</w:t>
            </w:r>
          </w:p>
        </w:tc>
        <w:tc>
          <w:tcPr>
            <w:tcW w:w="928" w:type="pct"/>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Age, sex, body mass index, and lymphocyte count, fever, </w:t>
            </w:r>
            <w:r w:rsidRPr="00DE7C70">
              <w:rPr>
                <w:rFonts w:eastAsiaTheme="minorEastAsia"/>
                <w:sz w:val="20"/>
                <w:szCs w:val="20"/>
              </w:rPr>
              <w:lastRenderedPageBreak/>
              <w:t>dyspnea, hypertension, dyslipidemia, smoking, heart failure, COPD, and cirrhosis</w:t>
            </w:r>
          </w:p>
        </w:tc>
        <w:tc>
          <w:tcPr>
            <w:tcW w:w="746" w:type="pct"/>
          </w:tcPr>
          <w:p w:rsidR="004B689A" w:rsidRPr="00DE7C70" w:rsidRDefault="004B689A" w:rsidP="00D51785">
            <w:pPr>
              <w:pStyle w:val="Para"/>
              <w:rPr>
                <w:rFonts w:eastAsiaTheme="minorEastAsia"/>
                <w:sz w:val="20"/>
                <w:szCs w:val="20"/>
              </w:rPr>
            </w:pPr>
            <w:r w:rsidRPr="00DE7C70">
              <w:rPr>
                <w:rFonts w:eastAsiaTheme="minorEastAsia"/>
                <w:sz w:val="20"/>
                <w:szCs w:val="20"/>
              </w:rPr>
              <w:lastRenderedPageBreak/>
              <w:t xml:space="preserve">20.6% of the patients experienced mortality on 28 days of the follow-up. The final </w:t>
            </w:r>
            <w:r w:rsidRPr="00DE7C70">
              <w:rPr>
                <w:rFonts w:eastAsiaTheme="minorEastAsia"/>
                <w:sz w:val="20"/>
                <w:szCs w:val="20"/>
              </w:rPr>
              <w:lastRenderedPageBreak/>
              <w:t xml:space="preserve">multivariable analysis revealed that factors such as younger people who were on routine medications such as metformin therapy with a longer duration of symptoms at the time of admission were less likely to die in the hospital and more likely to discharge from the hospital. In addition, patients with microvascular complications, who were on anti-coagulation therapy, had dyspnea at the time of admission, with higher levels of white cell count, C-reactive protein, and higher </w:t>
            </w:r>
            <w:r w:rsidRPr="00DE7C70">
              <w:rPr>
                <w:rFonts w:eastAsiaTheme="minorEastAsia"/>
                <w:sz w:val="20"/>
                <w:szCs w:val="20"/>
              </w:rPr>
              <w:lastRenderedPageBreak/>
              <w:t>levels of aspartate aminotransferase were less likely to be discharged and within 28 days than their counterparts with a P-value of &lt; 0.001 for these factors.</w:t>
            </w:r>
          </w:p>
        </w:tc>
        <w:tc>
          <w:tcPr>
            <w:tcW w:w="573" w:type="pct"/>
          </w:tcPr>
          <w:p w:rsidR="004B689A" w:rsidRPr="00DE7C70" w:rsidRDefault="004B689A" w:rsidP="00D51785">
            <w:pPr>
              <w:pStyle w:val="Para"/>
              <w:rPr>
                <w:rFonts w:eastAsiaTheme="minorEastAsia"/>
                <w:sz w:val="20"/>
                <w:szCs w:val="20"/>
              </w:rPr>
            </w:pPr>
            <w:r w:rsidRPr="00DE7C70">
              <w:rPr>
                <w:rFonts w:eastAsiaTheme="minorEastAsia"/>
                <w:sz w:val="20"/>
                <w:szCs w:val="20"/>
              </w:rPr>
              <w:lastRenderedPageBreak/>
              <w:t xml:space="preserve">The authors did not clearly describe the role of DDP4 inhibitors users in the morbidity </w:t>
            </w:r>
            <w:r w:rsidRPr="00DE7C70">
              <w:rPr>
                <w:rFonts w:eastAsiaTheme="minorEastAsia"/>
                <w:sz w:val="20"/>
                <w:szCs w:val="20"/>
              </w:rPr>
              <w:lastRenderedPageBreak/>
              <w:t>and mortality.</w:t>
            </w:r>
          </w:p>
        </w:tc>
      </w:tr>
      <w:tr w:rsidR="004B689A" w:rsidRPr="00DE7C70" w:rsidTr="00D51785">
        <w:trPr>
          <w:trHeight w:val="1338"/>
        </w:trPr>
        <w:tc>
          <w:tcPr>
            <w:tcW w:w="476" w:type="pct"/>
          </w:tcPr>
          <w:p w:rsidR="004B689A" w:rsidRPr="00DE7C70" w:rsidRDefault="004B689A" w:rsidP="00D51785">
            <w:pPr>
              <w:pStyle w:val="Para"/>
              <w:rPr>
                <w:rStyle w:val="nlm-given-names"/>
                <w:rFonts w:eastAsiaTheme="minorEastAsia"/>
                <w:sz w:val="20"/>
                <w:szCs w:val="20"/>
                <w:bdr w:val="none" w:sz="0" w:space="0" w:color="auto" w:frame="1"/>
                <w:shd w:val="clear" w:color="auto" w:fill="FFFFFF"/>
              </w:rPr>
            </w:pPr>
            <w:r w:rsidRPr="00DE7C70">
              <w:rPr>
                <w:rStyle w:val="nlm-given-names"/>
                <w:rFonts w:eastAsiaTheme="minorEastAsia"/>
                <w:sz w:val="20"/>
                <w:szCs w:val="20"/>
                <w:bdr w:val="none" w:sz="0" w:space="0" w:color="auto" w:frame="1"/>
                <w:shd w:val="clear" w:color="auto" w:fill="FFFFFF"/>
              </w:rPr>
              <w:lastRenderedPageBreak/>
              <w:t xml:space="preserve">Cariou et al </w:t>
            </w:r>
            <w:r w:rsidRPr="00DE7C70">
              <w:rPr>
                <w:rStyle w:val="nlm-given-names"/>
                <w:rFonts w:eastAsiaTheme="minorEastAsia"/>
                <w:noProof/>
                <w:sz w:val="20"/>
                <w:szCs w:val="20"/>
                <w:bdr w:val="none" w:sz="0" w:space="0" w:color="auto" w:frame="1"/>
                <w:shd w:val="clear" w:color="auto" w:fill="FFFFFF"/>
              </w:rPr>
              <w:t>[22]</w:t>
            </w:r>
          </w:p>
        </w:tc>
        <w:tc>
          <w:tcPr>
            <w:tcW w:w="514" w:type="pct"/>
          </w:tcPr>
          <w:p w:rsidR="004B689A" w:rsidRPr="00DE7C70" w:rsidRDefault="004B689A" w:rsidP="00D51785">
            <w:pPr>
              <w:pStyle w:val="Para"/>
              <w:rPr>
                <w:rStyle w:val="nlm-given-names"/>
                <w:rFonts w:eastAsiaTheme="minorEastAsia"/>
                <w:sz w:val="20"/>
                <w:szCs w:val="20"/>
                <w:bdr w:val="none" w:sz="0" w:space="0" w:color="auto" w:frame="1"/>
                <w:shd w:val="clear" w:color="auto" w:fill="FFFFFF"/>
              </w:rPr>
            </w:pPr>
            <w:r w:rsidRPr="00DE7C70">
              <w:rPr>
                <w:rStyle w:val="nlm-given-names"/>
                <w:rFonts w:eastAsiaTheme="minorEastAsia"/>
                <w:sz w:val="20"/>
                <w:szCs w:val="20"/>
                <w:bdr w:val="none" w:sz="0" w:space="0" w:color="auto" w:frame="1"/>
                <w:shd w:val="clear" w:color="auto" w:fill="FFFFFF"/>
              </w:rPr>
              <w:t xml:space="preserve">A nationwide multicenter observational study </w:t>
            </w:r>
          </w:p>
        </w:tc>
        <w:tc>
          <w:tcPr>
            <w:tcW w:w="450" w:type="pct"/>
          </w:tcPr>
          <w:p w:rsidR="004B689A" w:rsidRPr="00DE7C70" w:rsidRDefault="004B689A" w:rsidP="00D51785">
            <w:pPr>
              <w:pStyle w:val="Para"/>
              <w:rPr>
                <w:rStyle w:val="nlm-given-names"/>
                <w:rFonts w:eastAsiaTheme="minorEastAsia"/>
                <w:sz w:val="20"/>
                <w:szCs w:val="20"/>
                <w:bdr w:val="none" w:sz="0" w:space="0" w:color="auto" w:frame="1"/>
                <w:shd w:val="clear" w:color="auto" w:fill="FFFFFF"/>
              </w:rPr>
            </w:pPr>
            <w:r w:rsidRPr="00DE7C70">
              <w:rPr>
                <w:rStyle w:val="nlm-given-names"/>
                <w:rFonts w:eastAsiaTheme="minorEastAsia"/>
                <w:sz w:val="20"/>
                <w:szCs w:val="20"/>
                <w:bdr w:val="none" w:sz="0" w:space="0" w:color="auto" w:frame="1"/>
                <w:shd w:val="clear" w:color="auto" w:fill="FFFFFF"/>
              </w:rPr>
              <w:t>2020</w:t>
            </w:r>
          </w:p>
        </w:tc>
        <w:tc>
          <w:tcPr>
            <w:tcW w:w="462" w:type="pct"/>
          </w:tcPr>
          <w:p w:rsidR="004B689A" w:rsidRPr="00DE7C70" w:rsidRDefault="004B689A" w:rsidP="00D51785">
            <w:pPr>
              <w:pStyle w:val="Para"/>
              <w:rPr>
                <w:rStyle w:val="nlm-given-names"/>
                <w:rFonts w:eastAsiaTheme="minorEastAsia"/>
                <w:sz w:val="20"/>
                <w:szCs w:val="20"/>
                <w:bdr w:val="none" w:sz="0" w:space="0" w:color="auto" w:frame="1"/>
                <w:shd w:val="clear" w:color="auto" w:fill="FFFFFF"/>
              </w:rPr>
            </w:pPr>
            <w:r w:rsidRPr="00DE7C70">
              <w:rPr>
                <w:rStyle w:val="nlm-given-names"/>
                <w:rFonts w:eastAsiaTheme="minorEastAsia"/>
                <w:sz w:val="20"/>
                <w:szCs w:val="20"/>
                <w:bdr w:val="none" w:sz="0" w:space="0" w:color="auto" w:frame="1"/>
                <w:shd w:val="clear" w:color="auto" w:fill="FFFFFF"/>
              </w:rPr>
              <w:t xml:space="preserve">Admitted into the hospitals </w:t>
            </w:r>
          </w:p>
        </w:tc>
        <w:tc>
          <w:tcPr>
            <w:tcW w:w="360" w:type="pct"/>
          </w:tcPr>
          <w:p w:rsidR="004B689A" w:rsidRPr="00DE7C70" w:rsidRDefault="004B689A" w:rsidP="00D51785">
            <w:pPr>
              <w:pStyle w:val="Para"/>
              <w:rPr>
                <w:rStyle w:val="nlm-given-names"/>
                <w:rFonts w:eastAsiaTheme="minorEastAsia"/>
                <w:sz w:val="20"/>
                <w:szCs w:val="20"/>
                <w:bdr w:val="none" w:sz="0" w:space="0" w:color="auto" w:frame="1"/>
                <w:shd w:val="clear" w:color="auto" w:fill="FFFFFF"/>
              </w:rPr>
            </w:pPr>
            <w:r w:rsidRPr="00DE7C70">
              <w:rPr>
                <w:rStyle w:val="nlm-given-names"/>
                <w:rFonts w:eastAsiaTheme="minorEastAsia"/>
                <w:sz w:val="20"/>
                <w:szCs w:val="20"/>
                <w:bdr w:val="none" w:sz="0" w:space="0" w:color="auto" w:frame="1"/>
                <w:shd w:val="clear" w:color="auto" w:fill="FFFFFF"/>
              </w:rPr>
              <w:t>1,317</w:t>
            </w:r>
          </w:p>
        </w:tc>
        <w:tc>
          <w:tcPr>
            <w:tcW w:w="491" w:type="pct"/>
          </w:tcPr>
          <w:p w:rsidR="004B689A" w:rsidRPr="00DE7C70" w:rsidRDefault="004B689A" w:rsidP="00D51785">
            <w:pPr>
              <w:pStyle w:val="Para"/>
              <w:rPr>
                <w:rFonts w:eastAsiaTheme="minorEastAsia"/>
                <w:sz w:val="20"/>
                <w:szCs w:val="20"/>
              </w:rPr>
            </w:pPr>
            <w:r w:rsidRPr="00DE7C70">
              <w:rPr>
                <w:rFonts w:eastAsiaTheme="minorEastAsia"/>
                <w:sz w:val="20"/>
                <w:szCs w:val="20"/>
              </w:rPr>
              <w:t>Multivariable logistic regression analysis</w:t>
            </w:r>
          </w:p>
        </w:tc>
        <w:tc>
          <w:tcPr>
            <w:tcW w:w="928" w:type="pct"/>
          </w:tcPr>
          <w:p w:rsidR="004B689A" w:rsidRPr="00DE7C70" w:rsidRDefault="004B689A" w:rsidP="00D51785">
            <w:pPr>
              <w:pStyle w:val="Para"/>
              <w:rPr>
                <w:rFonts w:eastAsiaTheme="minorEastAsia"/>
                <w:sz w:val="20"/>
                <w:szCs w:val="20"/>
              </w:rPr>
            </w:pPr>
            <w:r w:rsidRPr="00DE7C70">
              <w:rPr>
                <w:rFonts w:eastAsiaTheme="minorEastAsia"/>
                <w:sz w:val="20"/>
                <w:szCs w:val="20"/>
              </w:rPr>
              <w:t>Age, sex, body mass index, and lymphocyte count</w:t>
            </w:r>
          </w:p>
        </w:tc>
        <w:tc>
          <w:tcPr>
            <w:tcW w:w="746" w:type="pct"/>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Around 10.6% of the patients in this cohort experienced mortality; however 18.0% were discharged on the day 7. The final model adjusted for age and sex revealed that body mass index, patients’ age, lymphocyte count, obstructive sleep apnea, micro- and macrovascular complications related to DM were found to be independent risk </w:t>
            </w:r>
            <w:r w:rsidRPr="00DE7C70">
              <w:rPr>
                <w:rFonts w:eastAsiaTheme="minorEastAsia"/>
                <w:sz w:val="20"/>
                <w:szCs w:val="20"/>
              </w:rPr>
              <w:lastRenderedPageBreak/>
              <w:t>factors of mortality on day 7 with a P-value &lt; 0.05 for all these variables.</w:t>
            </w:r>
          </w:p>
        </w:tc>
        <w:tc>
          <w:tcPr>
            <w:tcW w:w="573" w:type="pct"/>
          </w:tcPr>
          <w:p w:rsidR="004B689A" w:rsidRPr="00DE7C70" w:rsidRDefault="004B689A" w:rsidP="00D51785">
            <w:pPr>
              <w:pStyle w:val="Para"/>
              <w:rPr>
                <w:rFonts w:eastAsiaTheme="minorEastAsia"/>
                <w:sz w:val="20"/>
                <w:szCs w:val="20"/>
              </w:rPr>
            </w:pPr>
            <w:r w:rsidRPr="00DE7C70">
              <w:rPr>
                <w:rFonts w:eastAsiaTheme="minorEastAsia"/>
                <w:sz w:val="20"/>
                <w:szCs w:val="20"/>
              </w:rPr>
              <w:lastRenderedPageBreak/>
              <w:t xml:space="preserve">The findings revealed that among patients with diabetes who were positive for COVID-19, only body mass index was found to be positively associated with morbidity (tracheal intubation) and death within a week; however, there was no association between DDP4 inhibitors with morbidity and mortality </w:t>
            </w:r>
            <w:r w:rsidRPr="00DE7C70">
              <w:rPr>
                <w:rFonts w:eastAsiaTheme="minorEastAsia"/>
                <w:sz w:val="20"/>
                <w:szCs w:val="20"/>
              </w:rPr>
              <w:lastRenderedPageBreak/>
              <w:t xml:space="preserve">among the same patients. </w:t>
            </w:r>
          </w:p>
        </w:tc>
      </w:tr>
      <w:tr w:rsidR="004B689A" w:rsidRPr="00DE7C70" w:rsidTr="00D51785">
        <w:trPr>
          <w:trHeight w:val="1905"/>
        </w:trPr>
        <w:tc>
          <w:tcPr>
            <w:tcW w:w="476" w:type="pct"/>
          </w:tcPr>
          <w:p w:rsidR="004B689A" w:rsidRPr="00DE7C70" w:rsidRDefault="004B689A" w:rsidP="00D51785">
            <w:pPr>
              <w:pStyle w:val="Para"/>
              <w:rPr>
                <w:rFonts w:eastAsiaTheme="minorEastAsia"/>
                <w:sz w:val="20"/>
                <w:szCs w:val="20"/>
              </w:rPr>
            </w:pPr>
            <w:r w:rsidRPr="00DE7C70">
              <w:rPr>
                <w:rStyle w:val="nlm-surname"/>
                <w:rFonts w:eastAsiaTheme="minorEastAsia"/>
                <w:sz w:val="20"/>
                <w:szCs w:val="20"/>
                <w:bdr w:val="none" w:sz="0" w:space="0" w:color="auto" w:frame="1"/>
                <w:shd w:val="clear" w:color="auto" w:fill="FFFFFF"/>
              </w:rPr>
              <w:lastRenderedPageBreak/>
              <w:t xml:space="preserve">Izzi-Engbeaya et al </w:t>
            </w:r>
            <w:r w:rsidRPr="00DE7C70">
              <w:rPr>
                <w:rStyle w:val="nlm-surname"/>
                <w:rFonts w:eastAsiaTheme="minorEastAsia"/>
                <w:noProof/>
                <w:sz w:val="20"/>
                <w:szCs w:val="20"/>
                <w:bdr w:val="none" w:sz="0" w:space="0" w:color="auto" w:frame="1"/>
                <w:shd w:val="clear" w:color="auto" w:fill="FFFFFF"/>
              </w:rPr>
              <w:t>[30]</w:t>
            </w:r>
          </w:p>
        </w:tc>
        <w:tc>
          <w:tcPr>
            <w:tcW w:w="514" w:type="pct"/>
          </w:tcPr>
          <w:p w:rsidR="004B689A" w:rsidRPr="00DE7C70" w:rsidRDefault="004B689A" w:rsidP="00D51785">
            <w:pPr>
              <w:pStyle w:val="Para"/>
              <w:rPr>
                <w:rFonts w:eastAsiaTheme="minorEastAsia"/>
                <w:sz w:val="20"/>
                <w:szCs w:val="20"/>
              </w:rPr>
            </w:pPr>
            <w:r w:rsidRPr="00DE7C70">
              <w:rPr>
                <w:rFonts w:eastAsiaTheme="minorEastAsia"/>
                <w:sz w:val="20"/>
                <w:szCs w:val="20"/>
              </w:rPr>
              <w:t>Retrospective cohort study</w:t>
            </w:r>
          </w:p>
        </w:tc>
        <w:tc>
          <w:tcPr>
            <w:tcW w:w="450" w:type="pct"/>
          </w:tcPr>
          <w:p w:rsidR="004B689A" w:rsidRPr="00DE7C70" w:rsidRDefault="004B689A" w:rsidP="00D51785">
            <w:pPr>
              <w:pStyle w:val="Para"/>
              <w:rPr>
                <w:rFonts w:eastAsiaTheme="minorEastAsia"/>
                <w:sz w:val="20"/>
                <w:szCs w:val="20"/>
              </w:rPr>
            </w:pPr>
            <w:r w:rsidRPr="00DE7C70">
              <w:rPr>
                <w:rFonts w:eastAsiaTheme="minorEastAsia"/>
                <w:sz w:val="20"/>
                <w:szCs w:val="20"/>
              </w:rPr>
              <w:t>2020</w:t>
            </w:r>
          </w:p>
        </w:tc>
        <w:tc>
          <w:tcPr>
            <w:tcW w:w="462" w:type="pct"/>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In patients admitted in the hospital </w:t>
            </w:r>
          </w:p>
        </w:tc>
        <w:tc>
          <w:tcPr>
            <w:tcW w:w="360" w:type="pct"/>
          </w:tcPr>
          <w:p w:rsidR="004B689A" w:rsidRPr="00DE7C70" w:rsidRDefault="004B689A" w:rsidP="00D51785">
            <w:pPr>
              <w:pStyle w:val="Para"/>
              <w:rPr>
                <w:rFonts w:eastAsiaTheme="minorEastAsia"/>
                <w:sz w:val="20"/>
                <w:szCs w:val="20"/>
              </w:rPr>
            </w:pPr>
            <w:r w:rsidRPr="00DE7C70">
              <w:rPr>
                <w:rFonts w:eastAsiaTheme="minorEastAsia"/>
                <w:sz w:val="20"/>
                <w:szCs w:val="20"/>
              </w:rPr>
              <w:t>889</w:t>
            </w:r>
          </w:p>
        </w:tc>
        <w:tc>
          <w:tcPr>
            <w:tcW w:w="491" w:type="pct"/>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Multivariable logistic regression analysis, factors significantly associated with morbidity and mortality at P-value of &lt; 0.05 </w:t>
            </w:r>
          </w:p>
        </w:tc>
        <w:tc>
          <w:tcPr>
            <w:tcW w:w="928" w:type="pct"/>
          </w:tcPr>
          <w:p w:rsidR="004B689A" w:rsidRPr="00DE7C70" w:rsidRDefault="004B689A" w:rsidP="00D51785">
            <w:pPr>
              <w:pStyle w:val="Para"/>
              <w:rPr>
                <w:rFonts w:eastAsiaTheme="minorEastAsia"/>
                <w:sz w:val="20"/>
                <w:szCs w:val="20"/>
              </w:rPr>
            </w:pPr>
            <w:r w:rsidRPr="00DE7C70">
              <w:rPr>
                <w:rFonts w:eastAsiaTheme="minorEastAsia"/>
                <w:sz w:val="20"/>
                <w:szCs w:val="20"/>
              </w:rPr>
              <w:t>Age, gender, comorbidity, platelet count, ethnicity, anemia, temperature, respiratory rate, heart rate, systolic and diastolic blood pressures</w:t>
            </w:r>
          </w:p>
        </w:tc>
        <w:tc>
          <w:tcPr>
            <w:tcW w:w="746" w:type="pct"/>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In older males with heart disease, ischemic heart disease with low platelet count and several morbidities were found to be important risk factors for the poor outcomes such as higher mortality (death) and morbidity (indicated by admission to ICU) among COVID-19 patients with DM adjusting for confounders such as ethnicity, anemia, temperature, respiratory rate, heart rate, systolic and </w:t>
            </w:r>
            <w:r w:rsidRPr="00DE7C70">
              <w:rPr>
                <w:rFonts w:eastAsiaTheme="minorEastAsia"/>
                <w:sz w:val="20"/>
                <w:szCs w:val="20"/>
              </w:rPr>
              <w:lastRenderedPageBreak/>
              <w:t>diastolic blood pressures.</w:t>
            </w:r>
          </w:p>
        </w:tc>
        <w:tc>
          <w:tcPr>
            <w:tcW w:w="573" w:type="pct"/>
          </w:tcPr>
          <w:p w:rsidR="004B689A" w:rsidRPr="00DE7C70" w:rsidRDefault="004B689A" w:rsidP="00D51785">
            <w:pPr>
              <w:pStyle w:val="Para"/>
              <w:rPr>
                <w:rFonts w:eastAsiaTheme="minorEastAsia"/>
                <w:sz w:val="20"/>
                <w:szCs w:val="20"/>
              </w:rPr>
            </w:pPr>
            <w:r w:rsidRPr="00DE7C70">
              <w:rPr>
                <w:rFonts w:eastAsiaTheme="minorEastAsia"/>
                <w:sz w:val="20"/>
                <w:szCs w:val="20"/>
              </w:rPr>
              <w:lastRenderedPageBreak/>
              <w:t>The authors did not clearly describe the role of DDP4 inhibitors users in the morbidity and mortality.</w:t>
            </w:r>
          </w:p>
        </w:tc>
      </w:tr>
      <w:tr w:rsidR="004B689A" w:rsidRPr="00DE7C70" w:rsidTr="00D51785">
        <w:trPr>
          <w:trHeight w:val="3039"/>
        </w:trPr>
        <w:tc>
          <w:tcPr>
            <w:tcW w:w="476" w:type="pct"/>
            <w:tcBorders>
              <w:bottom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lastRenderedPageBreak/>
              <w:t xml:space="preserve">Chen et al </w:t>
            </w:r>
            <w:r w:rsidRPr="00DE7C70">
              <w:rPr>
                <w:rFonts w:eastAsiaTheme="minorEastAsia"/>
                <w:noProof/>
                <w:sz w:val="20"/>
                <w:szCs w:val="20"/>
              </w:rPr>
              <w:t>[21]</w:t>
            </w:r>
          </w:p>
        </w:tc>
        <w:tc>
          <w:tcPr>
            <w:tcW w:w="514" w:type="pct"/>
            <w:tcBorders>
              <w:bottom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Retrospective cohort study </w:t>
            </w:r>
          </w:p>
        </w:tc>
        <w:tc>
          <w:tcPr>
            <w:tcW w:w="450" w:type="pct"/>
            <w:tcBorders>
              <w:bottom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t>2020</w:t>
            </w:r>
          </w:p>
        </w:tc>
        <w:tc>
          <w:tcPr>
            <w:tcW w:w="462" w:type="pct"/>
            <w:tcBorders>
              <w:bottom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In patients admitted in the hospital </w:t>
            </w:r>
          </w:p>
        </w:tc>
        <w:tc>
          <w:tcPr>
            <w:tcW w:w="360" w:type="pct"/>
            <w:tcBorders>
              <w:bottom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904 </w:t>
            </w:r>
          </w:p>
        </w:tc>
        <w:tc>
          <w:tcPr>
            <w:tcW w:w="491" w:type="pct"/>
            <w:tcBorders>
              <w:bottom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t>Logistic regression analysis, a significant P-value for all the factors was &lt; 0.05</w:t>
            </w:r>
          </w:p>
        </w:tc>
        <w:tc>
          <w:tcPr>
            <w:tcW w:w="928" w:type="pct"/>
            <w:tcBorders>
              <w:bottom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t>Age, sex type of medications, comorbidities such as hypertension and diabetes</w:t>
            </w:r>
          </w:p>
        </w:tc>
        <w:tc>
          <w:tcPr>
            <w:tcW w:w="746" w:type="pct"/>
            <w:tcBorders>
              <w:bottom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t xml:space="preserve">Older diabetic patients had a higher tendency to die from COVID-19 than younger patients. Patients having diabetes and COVID and who were using insulin had higher mortality than those who were not using, therefore they need more attention. There was no significant difference in mortality related to COVID between those who were using ACE inhibitors or angiotensin receptor </w:t>
            </w:r>
            <w:r w:rsidRPr="00DE7C70">
              <w:rPr>
                <w:rFonts w:eastAsiaTheme="minorEastAsia"/>
                <w:sz w:val="20"/>
                <w:szCs w:val="20"/>
              </w:rPr>
              <w:lastRenderedPageBreak/>
              <w:t xml:space="preserve">blockers. </w:t>
            </w:r>
          </w:p>
        </w:tc>
        <w:tc>
          <w:tcPr>
            <w:tcW w:w="573" w:type="pct"/>
            <w:tcBorders>
              <w:bottom w:val="single" w:sz="4" w:space="0" w:color="000000" w:themeColor="text1"/>
            </w:tcBorders>
          </w:tcPr>
          <w:p w:rsidR="004B689A" w:rsidRPr="00DE7C70" w:rsidRDefault="004B689A" w:rsidP="00D51785">
            <w:pPr>
              <w:pStyle w:val="Para"/>
              <w:rPr>
                <w:rFonts w:eastAsiaTheme="minorEastAsia"/>
                <w:sz w:val="20"/>
                <w:szCs w:val="20"/>
              </w:rPr>
            </w:pPr>
            <w:r w:rsidRPr="00DE7C70">
              <w:rPr>
                <w:rFonts w:eastAsiaTheme="minorEastAsia"/>
                <w:sz w:val="20"/>
                <w:szCs w:val="20"/>
              </w:rPr>
              <w:lastRenderedPageBreak/>
              <w:t>The authors did not clearly describe the role of DDP4 inhibitors users in the morbidity and mortality.</w:t>
            </w:r>
          </w:p>
        </w:tc>
      </w:tr>
    </w:tbl>
    <w:p w:rsidR="004B689A" w:rsidRPr="00DE7C70" w:rsidRDefault="004B689A" w:rsidP="004B689A">
      <w:pPr>
        <w:pStyle w:val="TableFootnote"/>
        <w:rPr>
          <w:lang w:eastAsia="zh-CN"/>
        </w:rPr>
      </w:pPr>
      <w:r w:rsidRPr="00DE7C70">
        <w:lastRenderedPageBreak/>
        <w:t xml:space="preserve">DPP4: dipeptidyl peptidase-4; COVID-19: </w:t>
      </w:r>
      <w:r w:rsidRPr="00DE7C70">
        <w:rPr>
          <w:lang w:eastAsia="zh-CN"/>
        </w:rPr>
        <w:t>coronavirus disease 2019</w:t>
      </w:r>
      <w:r w:rsidRPr="00DE7C70">
        <w:t xml:space="preserve">; DM: diabetes mellitus; ICU: intensive care unit; GLP-1: </w:t>
      </w:r>
      <w:r w:rsidRPr="00DE7C70">
        <w:rPr>
          <w:lang w:eastAsia="zh-CN"/>
        </w:rPr>
        <w:t>g</w:t>
      </w:r>
      <w:r w:rsidRPr="00DE7C70">
        <w:t>lucagon-like peptide-1; S</w:t>
      </w:r>
      <w:r w:rsidRPr="00DE7C70">
        <w:rPr>
          <w:lang w:eastAsia="zh-CN"/>
        </w:rPr>
        <w:t>G</w:t>
      </w:r>
      <w:r w:rsidRPr="00DE7C70">
        <w:t xml:space="preserve">LT-2: </w:t>
      </w:r>
      <w:r w:rsidRPr="00DE7C70">
        <w:rPr>
          <w:lang w:eastAsia="zh-CN"/>
        </w:rPr>
        <w:t>s</w:t>
      </w:r>
      <w:r w:rsidRPr="00DE7C70">
        <w:t>odium-glucose co-transporter-2; COPD: chronic obstructive pulmonary disease; ACE: angiotensin-converting enzyme</w:t>
      </w:r>
      <w:r w:rsidRPr="00DE7C70">
        <w:rPr>
          <w:lang w:eastAsia="zh-CN"/>
        </w:rPr>
        <w:t>.</w:t>
      </w:r>
    </w:p>
    <w:p w:rsidR="004B689A" w:rsidRPr="00DE7C70" w:rsidRDefault="004B689A" w:rsidP="004B689A">
      <w:pPr>
        <w:pStyle w:val="Para"/>
        <w:rPr>
          <w:b/>
          <w:bCs/>
          <w:sz w:val="20"/>
          <w:szCs w:val="20"/>
        </w:rPr>
      </w:pPr>
    </w:p>
    <w:p w:rsidR="004B689A" w:rsidRPr="00DE7C70" w:rsidRDefault="004B689A" w:rsidP="004B689A">
      <w:pPr>
        <w:pStyle w:val="Para"/>
        <w:rPr>
          <w:b/>
          <w:bCs/>
          <w:sz w:val="20"/>
          <w:szCs w:val="20"/>
        </w:rPr>
      </w:pPr>
    </w:p>
    <w:p w:rsidR="004B689A" w:rsidRPr="00DE7C70" w:rsidRDefault="004B689A" w:rsidP="004B689A">
      <w:pPr>
        <w:pStyle w:val="Para"/>
        <w:rPr>
          <w:b/>
          <w:bCs/>
          <w:sz w:val="20"/>
          <w:szCs w:val="20"/>
        </w:rPr>
      </w:pPr>
    </w:p>
    <w:p w:rsidR="004B689A" w:rsidRPr="00DE7C70" w:rsidRDefault="004B689A" w:rsidP="004B689A">
      <w:pPr>
        <w:pStyle w:val="Para"/>
        <w:rPr>
          <w:b/>
          <w:bCs/>
          <w:lang w:eastAsia="zh-CN"/>
        </w:rPr>
      </w:pPr>
    </w:p>
    <w:p w:rsidR="00C628AE" w:rsidRDefault="00C628AE"/>
    <w:sectPr w:rsidR="00C628A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defaultTabStop w:val="720"/>
  <w:characterSpacingControl w:val="doNotCompress"/>
  <w:compat>
    <w:useFELayout/>
  </w:compat>
  <w:rsids>
    <w:rsidRoot w:val="004B689A"/>
    <w:rsid w:val="004B689A"/>
    <w:rsid w:val="00C62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689A"/>
    <w:pPr>
      <w:spacing w:after="0" w:line="240" w:lineRule="auto"/>
    </w:pPr>
    <w:rPr>
      <w:rFonts w:ascii="Times New Roman" w:eastAsia="宋体"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lm-given-names">
    <w:name w:val="nlm-given-names"/>
    <w:basedOn w:val="DefaultParagraphFont"/>
    <w:rsid w:val="004B689A"/>
    <w:rPr>
      <w:rFonts w:cs="Times New Roman"/>
    </w:rPr>
  </w:style>
  <w:style w:type="character" w:customStyle="1" w:styleId="nlm-surname">
    <w:name w:val="nlm-surname"/>
    <w:basedOn w:val="DefaultParagraphFont"/>
    <w:rsid w:val="004B689A"/>
    <w:rPr>
      <w:rFonts w:cs="Times New Roman"/>
    </w:rPr>
  </w:style>
  <w:style w:type="paragraph" w:customStyle="1" w:styleId="Para">
    <w:name w:val="Para"/>
    <w:basedOn w:val="Normal"/>
    <w:rsid w:val="004B689A"/>
    <w:pPr>
      <w:spacing w:after="0" w:line="240" w:lineRule="auto"/>
      <w:ind w:firstLine="567"/>
    </w:pPr>
    <w:rPr>
      <w:rFonts w:ascii="Times New Roman" w:hAnsi="Times New Roman" w:cs="Times New Roman"/>
      <w:sz w:val="24"/>
      <w:szCs w:val="24"/>
    </w:rPr>
  </w:style>
  <w:style w:type="paragraph" w:customStyle="1" w:styleId="Table">
    <w:name w:val="Table"/>
    <w:basedOn w:val="Normal"/>
    <w:rsid w:val="004B689A"/>
    <w:pPr>
      <w:spacing w:after="0" w:line="240" w:lineRule="auto"/>
    </w:pPr>
    <w:rPr>
      <w:rFonts w:ascii="Times New Roman" w:hAnsi="Times New Roman" w:cs="Times New Roman"/>
      <w:sz w:val="24"/>
      <w:szCs w:val="24"/>
    </w:rPr>
  </w:style>
  <w:style w:type="paragraph" w:customStyle="1" w:styleId="TableFootnote">
    <w:name w:val="Table Footnote"/>
    <w:basedOn w:val="Normal"/>
    <w:rsid w:val="004B689A"/>
    <w:pPr>
      <w:spacing w:after="0" w:line="240" w:lineRule="auto"/>
      <w:ind w:left="284"/>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1443</Words>
  <Characters>8229</Characters>
  <Application>Microsoft Office Word</Application>
  <DocSecurity>0</DocSecurity>
  <Lines>68</Lines>
  <Paragraphs>19</Paragraphs>
  <ScaleCrop>false</ScaleCrop>
  <Company/>
  <LinksUpToDate>false</LinksUpToDate>
  <CharactersWithSpaces>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2021-10-20T23:43:00Z</dcterms:created>
  <dcterms:modified xsi:type="dcterms:W3CDTF">2021-10-20T23:43:00Z</dcterms:modified>
</cp:coreProperties>
</file>